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7CEA29">
      <w:pPr>
        <w:pStyle w:val="5"/>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393939"/>
          <w:spacing w:val="0"/>
          <w:sz w:val="19"/>
          <w:szCs w:val="19"/>
        </w:rPr>
      </w:pPr>
      <w:r>
        <w:rPr>
          <w:rStyle w:val="8"/>
          <w:rFonts w:ascii="宋体" w:hAnsi="宋体" w:eastAsia="宋体" w:cs="宋体"/>
          <w:b/>
          <w:i w:val="0"/>
          <w:caps w:val="0"/>
          <w:color w:val="393939"/>
          <w:spacing w:val="0"/>
          <w:sz w:val="72"/>
          <w:szCs w:val="72"/>
          <w:shd w:val="clear" w:fill="FFFFFF"/>
        </w:rPr>
        <w:t>福建省政府采购</w:t>
      </w:r>
    </w:p>
    <w:p w14:paraId="24FF46A3">
      <w:pPr>
        <w:pStyle w:val="5"/>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393939"/>
          <w:spacing w:val="0"/>
          <w:sz w:val="19"/>
          <w:szCs w:val="19"/>
        </w:rPr>
      </w:pPr>
      <w:r>
        <w:rPr>
          <w:rStyle w:val="8"/>
          <w:rFonts w:hint="eastAsia" w:ascii="宋体" w:hAnsi="宋体" w:eastAsia="宋体" w:cs="宋体"/>
          <w:b/>
          <w:i w:val="0"/>
          <w:caps w:val="0"/>
          <w:color w:val="393939"/>
          <w:spacing w:val="0"/>
          <w:sz w:val="72"/>
          <w:szCs w:val="72"/>
          <w:shd w:val="clear" w:fill="FFFFFF"/>
        </w:rPr>
        <w:t>货物和服务项目</w:t>
      </w:r>
    </w:p>
    <w:p w14:paraId="649B2154">
      <w:pPr>
        <w:pStyle w:val="5"/>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393939"/>
          <w:spacing w:val="0"/>
          <w:sz w:val="19"/>
          <w:szCs w:val="19"/>
        </w:rPr>
      </w:pPr>
      <w:r>
        <w:rPr>
          <w:rStyle w:val="8"/>
          <w:rFonts w:hint="eastAsia" w:ascii="宋体" w:hAnsi="宋体" w:eastAsia="宋体" w:cs="宋体"/>
          <w:b/>
          <w:i w:val="0"/>
          <w:caps w:val="0"/>
          <w:color w:val="393939"/>
          <w:spacing w:val="0"/>
          <w:sz w:val="72"/>
          <w:szCs w:val="72"/>
          <w:shd w:val="clear" w:fill="FFFFFF"/>
        </w:rPr>
        <w:t>公开招标文件</w:t>
      </w:r>
    </w:p>
    <w:p w14:paraId="5A937E04">
      <w:pPr>
        <w:pStyle w:val="5"/>
        <w:keepNext w:val="0"/>
        <w:keepLines w:val="0"/>
        <w:widowControl/>
        <w:suppressLineNumbers w:val="0"/>
        <w:shd w:val="clear" w:fill="FFFFFF"/>
        <w:spacing w:before="75" w:beforeAutospacing="0" w:after="75" w:afterAutospacing="0"/>
        <w:ind w:left="0" w:right="0" w:firstLine="0"/>
        <w:rPr>
          <w:rFonts w:hint="eastAsia" w:ascii="微软雅黑" w:hAnsi="微软雅黑" w:eastAsia="微软雅黑" w:cs="微软雅黑"/>
          <w:i w:val="0"/>
          <w:caps w:val="0"/>
          <w:color w:val="393939"/>
          <w:spacing w:val="0"/>
          <w:sz w:val="19"/>
          <w:szCs w:val="19"/>
        </w:rPr>
      </w:pPr>
      <w:r>
        <w:rPr>
          <w:rStyle w:val="8"/>
          <w:rFonts w:hint="eastAsia" w:ascii="宋体" w:hAnsi="宋体" w:eastAsia="宋体" w:cs="宋体"/>
          <w:b/>
          <w:i w:val="0"/>
          <w:caps w:val="0"/>
          <w:color w:val="393939"/>
          <w:spacing w:val="0"/>
          <w:sz w:val="72"/>
          <w:szCs w:val="72"/>
          <w:shd w:val="clear" w:fill="FFFFFF"/>
        </w:rPr>
        <w:t>     </w:t>
      </w:r>
    </w:p>
    <w:p w14:paraId="6A214B24">
      <w:pPr>
        <w:pStyle w:val="5"/>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393939"/>
          <w:spacing w:val="0"/>
          <w:sz w:val="19"/>
          <w:szCs w:val="19"/>
        </w:rPr>
      </w:pPr>
      <w:r>
        <w:rPr>
          <w:rFonts w:hint="eastAsia" w:ascii="微软雅黑" w:hAnsi="微软雅黑" w:eastAsia="微软雅黑" w:cs="微软雅黑"/>
          <w:i w:val="0"/>
          <w:caps w:val="0"/>
          <w:color w:val="393939"/>
          <w:spacing w:val="0"/>
          <w:sz w:val="24"/>
          <w:szCs w:val="24"/>
          <w:shd w:val="clear" w:fill="FFFFFF"/>
        </w:rPr>
        <w:t> </w:t>
      </w:r>
    </w:p>
    <w:p w14:paraId="71AD82AA">
      <w:pPr>
        <w:pStyle w:val="5"/>
        <w:keepNext w:val="0"/>
        <w:keepLines w:val="0"/>
        <w:widowControl/>
        <w:suppressLineNumbers w:val="0"/>
        <w:shd w:val="clear" w:fill="FFFFFF"/>
        <w:spacing w:before="75" w:beforeAutospacing="0" w:after="75" w:afterAutospacing="0"/>
        <w:ind w:right="0" w:firstLine="1506" w:firstLineChars="500"/>
        <w:rPr>
          <w:rStyle w:val="8"/>
          <w:rFonts w:hint="eastAsia" w:ascii="宋体" w:hAnsi="宋体" w:eastAsia="宋体" w:cs="宋体"/>
          <w:b/>
          <w:i w:val="0"/>
          <w:caps w:val="0"/>
          <w:color w:val="393939"/>
          <w:spacing w:val="0"/>
          <w:sz w:val="30"/>
          <w:szCs w:val="30"/>
          <w:shd w:val="clear" w:fill="FFFFFF"/>
        </w:rPr>
      </w:pPr>
      <w:r>
        <w:rPr>
          <w:rStyle w:val="8"/>
          <w:rFonts w:hint="eastAsia" w:ascii="宋体" w:hAnsi="宋体" w:eastAsia="宋体" w:cs="宋体"/>
          <w:b/>
          <w:i w:val="0"/>
          <w:caps w:val="0"/>
          <w:color w:val="393939"/>
          <w:spacing w:val="0"/>
          <w:sz w:val="30"/>
          <w:szCs w:val="30"/>
          <w:shd w:val="clear" w:fill="FFFFFF"/>
        </w:rPr>
        <w:t>项目名称：福建省粮食和物资储备局</w:t>
      </w:r>
    </w:p>
    <w:p w14:paraId="79E45755">
      <w:pPr>
        <w:pStyle w:val="5"/>
        <w:keepNext w:val="0"/>
        <w:keepLines w:val="0"/>
        <w:widowControl/>
        <w:suppressLineNumbers w:val="0"/>
        <w:shd w:val="clear" w:fill="FFFFFF"/>
        <w:spacing w:before="75" w:beforeAutospacing="0" w:after="75" w:afterAutospacing="0"/>
        <w:ind w:right="0" w:firstLine="3012" w:firstLineChars="1000"/>
        <w:rPr>
          <w:rFonts w:hint="eastAsia" w:ascii="微软雅黑" w:hAnsi="微软雅黑" w:eastAsia="微软雅黑" w:cs="微软雅黑"/>
          <w:i w:val="0"/>
          <w:caps w:val="0"/>
          <w:color w:val="393939"/>
          <w:spacing w:val="0"/>
          <w:sz w:val="19"/>
          <w:szCs w:val="19"/>
        </w:rPr>
      </w:pPr>
      <w:r>
        <w:rPr>
          <w:rStyle w:val="8"/>
          <w:rFonts w:hint="eastAsia" w:ascii="宋体" w:hAnsi="宋体" w:eastAsia="宋体" w:cs="宋体"/>
          <w:b/>
          <w:i w:val="0"/>
          <w:caps w:val="0"/>
          <w:color w:val="393939"/>
          <w:spacing w:val="0"/>
          <w:sz w:val="30"/>
          <w:szCs w:val="30"/>
          <w:shd w:val="clear" w:fill="FFFFFF"/>
        </w:rPr>
        <w:t>省本级救灾物资采购项目</w:t>
      </w:r>
    </w:p>
    <w:p w14:paraId="5A51AB4B">
      <w:pPr>
        <w:pStyle w:val="5"/>
        <w:keepNext w:val="0"/>
        <w:keepLines w:val="0"/>
        <w:widowControl/>
        <w:suppressLineNumbers w:val="0"/>
        <w:shd w:val="clear" w:fill="FFFFFF"/>
        <w:spacing w:before="75" w:beforeAutospacing="0" w:after="75" w:afterAutospacing="0"/>
        <w:ind w:left="0" w:right="0" w:firstLine="0"/>
        <w:rPr>
          <w:rFonts w:hint="eastAsia" w:ascii="微软雅黑" w:hAnsi="微软雅黑" w:eastAsia="微软雅黑" w:cs="微软雅黑"/>
          <w:i w:val="0"/>
          <w:caps w:val="0"/>
          <w:color w:val="393939"/>
          <w:spacing w:val="0"/>
          <w:sz w:val="19"/>
          <w:szCs w:val="19"/>
        </w:rPr>
      </w:pPr>
      <w:r>
        <w:rPr>
          <w:rFonts w:hint="eastAsia" w:ascii="微软雅黑" w:hAnsi="微软雅黑" w:eastAsia="微软雅黑" w:cs="微软雅黑"/>
          <w:i w:val="0"/>
          <w:caps w:val="0"/>
          <w:color w:val="393939"/>
          <w:spacing w:val="0"/>
          <w:sz w:val="24"/>
          <w:szCs w:val="24"/>
          <w:shd w:val="clear" w:fill="FFFFFF"/>
        </w:rPr>
        <w:t> </w:t>
      </w:r>
    </w:p>
    <w:p w14:paraId="57EAC05B">
      <w:pPr>
        <w:pStyle w:val="5"/>
        <w:keepNext w:val="0"/>
        <w:keepLines w:val="0"/>
        <w:widowControl/>
        <w:suppressLineNumbers w:val="0"/>
        <w:shd w:val="clear" w:fill="FFFFFF"/>
        <w:spacing w:before="75" w:beforeAutospacing="0" w:after="75" w:afterAutospacing="0"/>
        <w:ind w:right="0" w:firstLine="1506" w:firstLineChars="500"/>
        <w:rPr>
          <w:rFonts w:hint="eastAsia" w:ascii="微软雅黑" w:hAnsi="微软雅黑" w:eastAsia="微软雅黑" w:cs="微软雅黑"/>
          <w:i w:val="0"/>
          <w:caps w:val="0"/>
          <w:color w:val="393939"/>
          <w:spacing w:val="0"/>
          <w:sz w:val="19"/>
          <w:szCs w:val="19"/>
        </w:rPr>
      </w:pPr>
      <w:r>
        <w:rPr>
          <w:rStyle w:val="8"/>
          <w:rFonts w:hint="eastAsia" w:ascii="宋体" w:hAnsi="宋体" w:eastAsia="宋体" w:cs="宋体"/>
          <w:b/>
          <w:i w:val="0"/>
          <w:caps w:val="0"/>
          <w:color w:val="393939"/>
          <w:spacing w:val="0"/>
          <w:sz w:val="30"/>
          <w:szCs w:val="30"/>
          <w:shd w:val="clear" w:fill="FFFFFF"/>
        </w:rPr>
        <w:t>备案编号：K-LSJ-GK-201907-B0498-GK</w:t>
      </w:r>
    </w:p>
    <w:p w14:paraId="57302755">
      <w:pPr>
        <w:pStyle w:val="5"/>
        <w:keepNext w:val="0"/>
        <w:keepLines w:val="0"/>
        <w:widowControl/>
        <w:suppressLineNumbers w:val="0"/>
        <w:shd w:val="clear" w:fill="FFFFFF"/>
        <w:spacing w:before="75" w:beforeAutospacing="0" w:after="75" w:afterAutospacing="0"/>
        <w:ind w:left="0" w:right="0" w:firstLine="0"/>
        <w:rPr>
          <w:rFonts w:hint="eastAsia" w:ascii="微软雅黑" w:hAnsi="微软雅黑" w:eastAsia="微软雅黑" w:cs="微软雅黑"/>
          <w:i w:val="0"/>
          <w:caps w:val="0"/>
          <w:color w:val="393939"/>
          <w:spacing w:val="0"/>
          <w:sz w:val="19"/>
          <w:szCs w:val="19"/>
        </w:rPr>
      </w:pPr>
      <w:r>
        <w:rPr>
          <w:rFonts w:hint="eastAsia" w:ascii="微软雅黑" w:hAnsi="微软雅黑" w:eastAsia="微软雅黑" w:cs="微软雅黑"/>
          <w:i w:val="0"/>
          <w:caps w:val="0"/>
          <w:color w:val="393939"/>
          <w:spacing w:val="0"/>
          <w:sz w:val="24"/>
          <w:szCs w:val="24"/>
          <w:shd w:val="clear" w:fill="FFFFFF"/>
        </w:rPr>
        <w:t> </w:t>
      </w:r>
    </w:p>
    <w:p w14:paraId="27E2BBBD">
      <w:pPr>
        <w:pStyle w:val="5"/>
        <w:keepNext w:val="0"/>
        <w:keepLines w:val="0"/>
        <w:widowControl/>
        <w:suppressLineNumbers w:val="0"/>
        <w:shd w:val="clear" w:fill="FFFFFF"/>
        <w:spacing w:before="75" w:beforeAutospacing="0" w:after="75" w:afterAutospacing="0"/>
        <w:ind w:right="0" w:firstLine="1506" w:firstLineChars="500"/>
        <w:rPr>
          <w:rFonts w:hint="eastAsia" w:ascii="微软雅黑" w:hAnsi="微软雅黑" w:eastAsia="微软雅黑" w:cs="微软雅黑"/>
          <w:i w:val="0"/>
          <w:caps w:val="0"/>
          <w:color w:val="393939"/>
          <w:spacing w:val="0"/>
          <w:sz w:val="19"/>
          <w:szCs w:val="19"/>
        </w:rPr>
      </w:pPr>
      <w:r>
        <w:rPr>
          <w:rStyle w:val="8"/>
          <w:rFonts w:hint="eastAsia" w:ascii="宋体" w:hAnsi="宋体" w:eastAsia="宋体" w:cs="宋体"/>
          <w:b/>
          <w:i w:val="0"/>
          <w:caps w:val="0"/>
          <w:color w:val="393939"/>
          <w:spacing w:val="0"/>
          <w:sz w:val="30"/>
          <w:szCs w:val="30"/>
          <w:shd w:val="clear" w:fill="FFFFFF"/>
        </w:rPr>
        <w:t>招标编号：[3500]GK[GK]2019003</w:t>
      </w:r>
      <w:r>
        <w:rPr>
          <w:rStyle w:val="8"/>
          <w:rFonts w:hint="eastAsia" w:ascii="宋体" w:hAnsi="宋体" w:eastAsia="宋体" w:cs="宋体"/>
          <w:b/>
          <w:i w:val="0"/>
          <w:caps w:val="0"/>
          <w:color w:val="393939"/>
          <w:spacing w:val="0"/>
          <w:sz w:val="30"/>
          <w:szCs w:val="30"/>
          <w:shd w:val="clear" w:fill="FFFFFF"/>
        </w:rPr>
        <w:br w:type="textWrapping"/>
      </w:r>
      <w:r>
        <w:rPr>
          <w:rStyle w:val="8"/>
          <w:rFonts w:hint="eastAsia" w:ascii="宋体" w:hAnsi="宋体" w:eastAsia="宋体" w:cs="宋体"/>
          <w:b/>
          <w:i w:val="0"/>
          <w:caps w:val="0"/>
          <w:color w:val="393939"/>
          <w:spacing w:val="0"/>
          <w:sz w:val="30"/>
          <w:szCs w:val="30"/>
          <w:shd w:val="clear" w:fill="FFFFFF"/>
        </w:rPr>
        <w:t>                   </w:t>
      </w:r>
    </w:p>
    <w:p w14:paraId="077100B1">
      <w:pPr>
        <w:pStyle w:val="5"/>
        <w:keepNext w:val="0"/>
        <w:keepLines w:val="0"/>
        <w:widowControl/>
        <w:suppressLineNumbers w:val="0"/>
        <w:shd w:val="clear" w:fill="FFFFFF"/>
        <w:spacing w:before="75" w:beforeAutospacing="0" w:after="75" w:afterAutospacing="0"/>
        <w:ind w:left="0" w:right="0" w:firstLine="0"/>
        <w:rPr>
          <w:rFonts w:hint="eastAsia" w:ascii="微软雅黑" w:hAnsi="微软雅黑" w:eastAsia="微软雅黑" w:cs="微软雅黑"/>
          <w:i w:val="0"/>
          <w:caps w:val="0"/>
          <w:color w:val="393939"/>
          <w:spacing w:val="0"/>
          <w:sz w:val="19"/>
          <w:szCs w:val="19"/>
        </w:rPr>
      </w:pPr>
      <w:r>
        <w:rPr>
          <w:rFonts w:hint="eastAsia" w:ascii="微软雅黑" w:hAnsi="微软雅黑" w:eastAsia="微软雅黑" w:cs="微软雅黑"/>
          <w:i w:val="0"/>
          <w:caps w:val="0"/>
          <w:color w:val="393939"/>
          <w:spacing w:val="0"/>
          <w:sz w:val="24"/>
          <w:szCs w:val="24"/>
          <w:shd w:val="clear" w:fill="FFFFFF"/>
        </w:rPr>
        <w:t> </w:t>
      </w:r>
    </w:p>
    <w:p w14:paraId="0BE0D9C5">
      <w:pPr>
        <w:keepNext w:val="0"/>
        <w:keepLines w:val="0"/>
        <w:widowControl/>
        <w:suppressLineNumbers w:val="0"/>
        <w:jc w:val="left"/>
      </w:pPr>
      <w:r>
        <w:rPr>
          <w:rFonts w:hint="eastAsia" w:ascii="微软雅黑" w:hAnsi="微软雅黑" w:eastAsia="微软雅黑" w:cs="微软雅黑"/>
          <w:i w:val="0"/>
          <w:caps w:val="0"/>
          <w:color w:val="393939"/>
          <w:spacing w:val="0"/>
          <w:kern w:val="0"/>
          <w:sz w:val="19"/>
          <w:szCs w:val="19"/>
          <w:shd w:val="clear" w:fill="FFFFFF"/>
          <w:lang w:val="en-US" w:eastAsia="zh-CN" w:bidi="ar"/>
        </w:rPr>
        <w:t> </w:t>
      </w:r>
    </w:p>
    <w:p w14:paraId="36A383C7">
      <w:pPr>
        <w:pStyle w:val="5"/>
        <w:keepNext w:val="0"/>
        <w:keepLines w:val="0"/>
        <w:widowControl/>
        <w:suppressLineNumbers w:val="0"/>
        <w:shd w:val="clear" w:fill="FFFFFF"/>
        <w:spacing w:before="75" w:beforeAutospacing="0" w:after="75" w:afterAutospacing="0"/>
        <w:ind w:left="0" w:right="0" w:firstLine="0"/>
        <w:rPr>
          <w:rFonts w:hint="eastAsia" w:ascii="微软雅黑" w:hAnsi="微软雅黑" w:eastAsia="微软雅黑" w:cs="微软雅黑"/>
          <w:i w:val="0"/>
          <w:caps w:val="0"/>
          <w:color w:val="393939"/>
          <w:spacing w:val="0"/>
          <w:sz w:val="19"/>
          <w:szCs w:val="19"/>
        </w:rPr>
      </w:pPr>
      <w:r>
        <w:rPr>
          <w:rFonts w:hint="eastAsia" w:ascii="微软雅黑" w:hAnsi="微软雅黑" w:eastAsia="微软雅黑" w:cs="微软雅黑"/>
          <w:i w:val="0"/>
          <w:caps w:val="0"/>
          <w:color w:val="393939"/>
          <w:spacing w:val="0"/>
          <w:sz w:val="24"/>
          <w:szCs w:val="24"/>
          <w:shd w:val="clear" w:fill="FFFFFF"/>
        </w:rPr>
        <w:t>                             </w:t>
      </w:r>
      <w:r>
        <w:rPr>
          <w:rStyle w:val="8"/>
          <w:rFonts w:hint="eastAsia" w:ascii="宋体" w:hAnsi="宋体" w:eastAsia="宋体" w:cs="宋体"/>
          <w:b/>
          <w:i w:val="0"/>
          <w:caps w:val="0"/>
          <w:color w:val="393939"/>
          <w:spacing w:val="0"/>
          <w:sz w:val="27"/>
          <w:szCs w:val="27"/>
          <w:shd w:val="clear" w:fill="FFFFFF"/>
        </w:rPr>
        <w:t>采购人：</w:t>
      </w:r>
      <w:r>
        <w:rPr>
          <w:rFonts w:hint="eastAsia" w:ascii="微软雅黑" w:hAnsi="微软雅黑" w:eastAsia="微软雅黑" w:cs="微软雅黑"/>
          <w:i w:val="0"/>
          <w:caps w:val="0"/>
          <w:color w:val="393939"/>
          <w:spacing w:val="0"/>
          <w:sz w:val="27"/>
          <w:szCs w:val="27"/>
          <w:shd w:val="clear" w:fill="FFFFFF"/>
        </w:rPr>
        <w:t> </w:t>
      </w:r>
      <w:r>
        <w:rPr>
          <w:rStyle w:val="8"/>
          <w:rFonts w:hint="eastAsia" w:ascii="宋体" w:hAnsi="宋体" w:eastAsia="宋体" w:cs="宋体"/>
          <w:b/>
          <w:i w:val="0"/>
          <w:caps w:val="0"/>
          <w:color w:val="393939"/>
          <w:spacing w:val="0"/>
          <w:sz w:val="28"/>
          <w:szCs w:val="28"/>
          <w:shd w:val="clear" w:fill="FFFFFF"/>
        </w:rPr>
        <w:t>福建省粮食和物资储备局</w:t>
      </w:r>
    </w:p>
    <w:p w14:paraId="54903F6B">
      <w:pPr>
        <w:pStyle w:val="5"/>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393939"/>
          <w:spacing w:val="0"/>
          <w:sz w:val="19"/>
          <w:szCs w:val="19"/>
        </w:rPr>
      </w:pPr>
      <w:r>
        <w:rPr>
          <w:rStyle w:val="8"/>
          <w:rFonts w:hint="eastAsia" w:ascii="宋体" w:hAnsi="宋体" w:eastAsia="宋体" w:cs="宋体"/>
          <w:b/>
          <w:i w:val="0"/>
          <w:caps w:val="0"/>
          <w:color w:val="393939"/>
          <w:spacing w:val="0"/>
          <w:sz w:val="28"/>
          <w:szCs w:val="28"/>
          <w:shd w:val="clear" w:fill="FFFFFF"/>
        </w:rPr>
        <w:t>代理机构：福建省顺鑫招标代理有限公司</w:t>
      </w:r>
    </w:p>
    <w:p w14:paraId="08F54173">
      <w:pPr>
        <w:pStyle w:val="5"/>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393939"/>
          <w:spacing w:val="0"/>
          <w:sz w:val="19"/>
          <w:szCs w:val="19"/>
        </w:rPr>
      </w:pPr>
      <w:r>
        <w:rPr>
          <w:rFonts w:hint="eastAsia" w:ascii="微软雅黑" w:hAnsi="微软雅黑" w:eastAsia="微软雅黑" w:cs="微软雅黑"/>
          <w:i w:val="0"/>
          <w:caps w:val="0"/>
          <w:color w:val="393939"/>
          <w:spacing w:val="0"/>
          <w:sz w:val="27"/>
          <w:szCs w:val="27"/>
          <w:shd w:val="clear" w:fill="FFFFFF"/>
        </w:rPr>
        <w:t> </w:t>
      </w:r>
    </w:p>
    <w:p w14:paraId="11E23C05">
      <w:pPr>
        <w:pStyle w:val="5"/>
        <w:keepNext w:val="0"/>
        <w:keepLines w:val="0"/>
        <w:widowControl/>
        <w:suppressLineNumbers w:val="0"/>
        <w:shd w:val="clear" w:fill="FFFFFF"/>
        <w:spacing w:before="75" w:beforeAutospacing="0" w:after="75" w:afterAutospacing="0" w:line="360" w:lineRule="atLeast"/>
        <w:ind w:left="0" w:right="720" w:firstLine="0"/>
        <w:jc w:val="center"/>
        <w:rPr>
          <w:rFonts w:hint="eastAsia" w:ascii="微软雅黑" w:hAnsi="微软雅黑" w:eastAsia="微软雅黑" w:cs="微软雅黑"/>
          <w:i w:val="0"/>
          <w:caps w:val="0"/>
          <w:color w:val="393939"/>
          <w:spacing w:val="0"/>
          <w:sz w:val="19"/>
          <w:szCs w:val="19"/>
        </w:rPr>
      </w:pPr>
      <w:r>
        <w:rPr>
          <w:rStyle w:val="8"/>
          <w:rFonts w:hint="eastAsia" w:ascii="宋体" w:hAnsi="宋体" w:eastAsia="宋体" w:cs="宋体"/>
          <w:b/>
          <w:i w:val="0"/>
          <w:caps w:val="0"/>
          <w:color w:val="393939"/>
          <w:spacing w:val="0"/>
          <w:sz w:val="28"/>
          <w:szCs w:val="28"/>
          <w:shd w:val="clear" w:fill="FFFFFF"/>
        </w:rPr>
        <w:t>2019年07月</w:t>
      </w:r>
    </w:p>
    <w:p w14:paraId="28E7DFEA">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31"/>
          <w:szCs w:val="31"/>
        </w:rPr>
        <w:t>第一章</w:t>
      </w:r>
      <w:r>
        <w:rPr>
          <w:rStyle w:val="8"/>
          <w:b/>
          <w:spacing w:val="0"/>
          <w:sz w:val="31"/>
          <w:szCs w:val="31"/>
        </w:rPr>
        <w:t>   </w:t>
      </w:r>
      <w:r>
        <w:rPr>
          <w:rStyle w:val="8"/>
          <w:rFonts w:hint="eastAsia" w:ascii="宋体" w:hAnsi="宋体" w:eastAsia="宋体" w:cs="宋体"/>
          <w:b/>
          <w:spacing w:val="0"/>
          <w:sz w:val="31"/>
          <w:szCs w:val="31"/>
        </w:rPr>
        <w:t>投标邀请</w:t>
      </w:r>
    </w:p>
    <w:p w14:paraId="0938D1E9">
      <w:pPr>
        <w:pStyle w:val="5"/>
        <w:keepNext w:val="0"/>
        <w:keepLines w:val="0"/>
        <w:widowControl/>
        <w:suppressLineNumbers w:val="0"/>
        <w:spacing w:before="75" w:beforeAutospacing="0" w:after="75" w:afterAutospacing="0"/>
        <w:ind w:left="0" w:right="0" w:firstLine="0"/>
      </w:pPr>
      <w:r>
        <w:rPr>
          <w:spacing w:val="0"/>
          <w:sz w:val="24"/>
          <w:szCs w:val="24"/>
        </w:rPr>
        <w:t> </w:t>
      </w:r>
    </w:p>
    <w:p w14:paraId="13AAE2B3">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36" w:lineRule="auto"/>
        <w:ind w:left="0" w:right="0" w:firstLine="482"/>
        <w:textAlignment w:val="auto"/>
      </w:pP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采用</w:t>
      </w:r>
      <w:r>
        <w:rPr>
          <w:rFonts w:hint="eastAsia" w:ascii="宋体" w:hAnsi="宋体" w:eastAsia="宋体" w:cs="宋体"/>
          <w:spacing w:val="0"/>
          <w:sz w:val="24"/>
          <w:szCs w:val="24"/>
          <w:u w:val="single"/>
        </w:rPr>
        <w:t>公开招标方式</w:t>
      </w:r>
      <w:r>
        <w:rPr>
          <w:rFonts w:hint="eastAsia" w:ascii="宋体" w:hAnsi="宋体" w:eastAsia="宋体" w:cs="宋体"/>
          <w:spacing w:val="0"/>
          <w:sz w:val="24"/>
          <w:szCs w:val="24"/>
        </w:rPr>
        <w:t>组织</w:t>
      </w:r>
      <w:r>
        <w:rPr>
          <w:rFonts w:hint="eastAsia" w:ascii="宋体" w:hAnsi="宋体" w:eastAsia="宋体" w:cs="宋体"/>
          <w:spacing w:val="0"/>
          <w:sz w:val="24"/>
          <w:szCs w:val="24"/>
          <w:u w:val="none"/>
        </w:rPr>
        <w:t>福建省粮食和物资储备局省本级救灾物资采购项目</w:t>
      </w:r>
      <w:r>
        <w:rPr>
          <w:rFonts w:hint="eastAsia" w:ascii="宋体" w:hAnsi="宋体" w:eastAsia="宋体" w:cs="宋体"/>
          <w:spacing w:val="0"/>
          <w:sz w:val="24"/>
          <w:szCs w:val="24"/>
        </w:rPr>
        <w:t>（以下简称：“本项目”）的政府采购活动，现邀请供应商参加投标。</w:t>
      </w:r>
    </w:p>
    <w:p w14:paraId="3C5B6535">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36" w:lineRule="auto"/>
        <w:ind w:left="0" w:right="0" w:firstLine="482"/>
        <w:textAlignment w:val="auto"/>
      </w:pPr>
      <w:r>
        <w:rPr>
          <w:rFonts w:hint="eastAsia" w:ascii="宋体" w:hAnsi="宋体" w:eastAsia="宋体" w:cs="宋体"/>
          <w:spacing w:val="0"/>
          <w:sz w:val="24"/>
          <w:szCs w:val="24"/>
        </w:rPr>
        <w:t>1、备案编号：</w:t>
      </w:r>
      <w:r>
        <w:rPr>
          <w:rFonts w:hint="eastAsia" w:ascii="宋体" w:hAnsi="宋体" w:eastAsia="宋体" w:cs="宋体"/>
          <w:spacing w:val="0"/>
          <w:sz w:val="24"/>
          <w:szCs w:val="24"/>
          <w:u w:val="single"/>
        </w:rPr>
        <w:t>K-LSJ-GK-201907-B0498-GK</w:t>
      </w:r>
      <w:r>
        <w:rPr>
          <w:rFonts w:hint="eastAsia" w:ascii="宋体" w:hAnsi="宋体" w:eastAsia="宋体" w:cs="宋体"/>
          <w:spacing w:val="0"/>
          <w:sz w:val="24"/>
          <w:szCs w:val="24"/>
        </w:rPr>
        <w:t>。</w:t>
      </w:r>
    </w:p>
    <w:p w14:paraId="64AA02DA">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36" w:lineRule="auto"/>
        <w:ind w:left="0" w:right="0" w:firstLine="482"/>
        <w:textAlignment w:val="auto"/>
      </w:pPr>
      <w:r>
        <w:rPr>
          <w:rFonts w:hint="eastAsia" w:ascii="宋体" w:hAnsi="宋体" w:eastAsia="宋体" w:cs="宋体"/>
          <w:spacing w:val="0"/>
          <w:sz w:val="24"/>
          <w:szCs w:val="24"/>
        </w:rPr>
        <w:t>2、招标编号：</w:t>
      </w:r>
      <w:r>
        <w:rPr>
          <w:rFonts w:hint="eastAsia" w:ascii="宋体" w:hAnsi="宋体" w:eastAsia="宋体" w:cs="宋体"/>
          <w:spacing w:val="0"/>
          <w:sz w:val="24"/>
          <w:szCs w:val="24"/>
          <w:u w:val="single"/>
        </w:rPr>
        <w:t>[3500]GK[GK]2019003</w:t>
      </w:r>
      <w:r>
        <w:rPr>
          <w:rFonts w:hint="eastAsia" w:ascii="宋体" w:hAnsi="宋体" w:eastAsia="宋体" w:cs="宋体"/>
          <w:spacing w:val="0"/>
          <w:sz w:val="24"/>
          <w:szCs w:val="24"/>
        </w:rPr>
        <w:t>。</w:t>
      </w:r>
    </w:p>
    <w:p w14:paraId="2802DC99">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36" w:lineRule="auto"/>
        <w:ind w:left="0" w:right="0" w:firstLine="482"/>
        <w:textAlignment w:val="auto"/>
      </w:pPr>
      <w:r>
        <w:rPr>
          <w:rFonts w:hint="eastAsia" w:ascii="宋体" w:hAnsi="宋体" w:eastAsia="宋体" w:cs="宋体"/>
          <w:spacing w:val="0"/>
          <w:sz w:val="24"/>
          <w:szCs w:val="24"/>
        </w:rPr>
        <w:t>3、预算金额、最高限价：详见《采购标的一览表》。</w:t>
      </w:r>
      <w:r>
        <w:rPr>
          <w:rFonts w:hint="eastAsia" w:ascii="宋体" w:hAnsi="宋体" w:eastAsia="宋体" w:cs="宋体"/>
          <w:spacing w:val="0"/>
          <w:sz w:val="24"/>
          <w:szCs w:val="24"/>
        </w:rPr>
        <w:br w:type="textWrapping"/>
      </w:r>
      <w:r>
        <w:rPr>
          <w:rFonts w:hint="eastAsia" w:ascii="宋体" w:hAnsi="宋体" w:eastAsia="宋体" w:cs="宋体"/>
          <w:spacing w:val="0"/>
          <w:sz w:val="24"/>
          <w:szCs w:val="24"/>
        </w:rPr>
        <w:t>  4、招标内容及要求：详见《采购标的一览表》及招标文件第五章。</w:t>
      </w:r>
    </w:p>
    <w:p w14:paraId="42D1EF88">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36" w:lineRule="auto"/>
        <w:ind w:left="0" w:right="0" w:firstLine="482"/>
        <w:textAlignment w:val="auto"/>
      </w:pPr>
      <w:r>
        <w:rPr>
          <w:rFonts w:hint="eastAsia" w:ascii="宋体" w:hAnsi="宋体" w:eastAsia="宋体" w:cs="宋体"/>
          <w:spacing w:val="0"/>
          <w:sz w:val="24"/>
          <w:szCs w:val="24"/>
        </w:rPr>
        <w:t>5、需要落实的政府采购政策：进口产品，不适用于本项目。节能产品，适用于（合同包1-7），按照递交投标文件截止时间前最新一期节能清单执行。环境标志产品，适用于（合同包1-7），按照递交投标文件截止时间前最新一期环境标志清单执行。信息安全产品，适用于（合同包1-7）。小型、微型企业，适用于（合同包1-7）。监狱企业，适用于（合同包1-7）。促进残疾人就业 ，适用于（合同包1-7）。信用记录，适用于（合同包1-7），按照下列规定执行：（1）投标人应在（递交投标文件截止时间）前分别通过“信用中国”网站（www.creditchina.gov.cn）、中国政府采购网（www.ccgp.gov.cn）查询并打印相应的信用记录（以下简称：“投标人提供的查询结果”），投标人提供的查询结果应为其通过上述网站获取的信用信息查询结果原始页面的打印件（或截图）。（2）查询结果的审查：①由资格审查小组通过上述网站查询并打印投标人信用记录（以下简称：“资格审查小组的查询结果”）。②投标人提供的查询结果与资格审查小组的查询结果不一致的，以资格审查小组的查询结果为准。③因上述网站原因导致资格审查小组无法查询投标人信用记录的（资格审查小组应将通过上述网站查询投标人信用记录时的原始页面打印后随采购文件一并存档），以投标人提供的查询结果为准。④查询结果存在投标人应被拒绝参与政府采购活动相关信息的，其资格审查不合格。</w:t>
      </w:r>
    </w:p>
    <w:p w14:paraId="27110C47">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36" w:lineRule="auto"/>
        <w:ind w:left="0" w:right="0" w:firstLine="482"/>
        <w:textAlignment w:val="auto"/>
      </w:pPr>
      <w:r>
        <w:rPr>
          <w:rFonts w:hint="eastAsia" w:ascii="宋体" w:hAnsi="宋体" w:eastAsia="宋体" w:cs="宋体"/>
          <w:spacing w:val="0"/>
          <w:sz w:val="24"/>
          <w:szCs w:val="24"/>
        </w:rPr>
        <w:t>6、投标人的资格要求</w:t>
      </w:r>
    </w:p>
    <w:p w14:paraId="313F9B06">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36" w:lineRule="auto"/>
        <w:ind w:left="0" w:right="0" w:firstLine="482"/>
        <w:textAlignment w:val="auto"/>
      </w:pPr>
      <w:r>
        <w:rPr>
          <w:rFonts w:hint="eastAsia" w:ascii="宋体" w:hAnsi="宋体" w:eastAsia="宋体" w:cs="宋体"/>
          <w:spacing w:val="0"/>
          <w:sz w:val="24"/>
          <w:szCs w:val="24"/>
        </w:rPr>
        <w:t>6.1法定条件：符合政府采购法第二十二条第一款规定的条件。</w:t>
      </w:r>
    </w:p>
    <w:p w14:paraId="3D32623F">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36" w:lineRule="auto"/>
        <w:ind w:left="0" w:right="0" w:firstLine="482"/>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6.2特定条件：</w:t>
      </w:r>
      <w:r>
        <w:rPr>
          <w:rFonts w:hint="eastAsia" w:ascii="宋体" w:hAnsi="宋体" w:eastAsia="宋体" w:cs="宋体"/>
          <w:spacing w:val="0"/>
          <w:sz w:val="24"/>
          <w:szCs w:val="24"/>
        </w:rPr>
        <w:br w:type="textWrapping"/>
      </w:r>
    </w:p>
    <w:p w14:paraId="6A5AB7F1">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36" w:lineRule="auto"/>
        <w:ind w:left="0" w:right="0" w:firstLine="482"/>
        <w:textAlignment w:val="auto"/>
      </w:pPr>
      <w:r>
        <w:rPr>
          <w:rStyle w:val="8"/>
          <w:rFonts w:hint="eastAsia" w:ascii="宋体" w:hAnsi="宋体" w:eastAsia="宋体" w:cs="宋体"/>
          <w:b/>
          <w:spacing w:val="0"/>
          <w:sz w:val="24"/>
          <w:szCs w:val="24"/>
        </w:rPr>
        <w:t>包：1</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14:paraId="6D245A8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52B860FA">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716051DE">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14:paraId="37D8DFB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5DFB3D9D">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3AA4CB77">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14:paraId="15A70E5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6CE8EB76">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77C2DF15">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14:paraId="0AB1E270">
      <w:pPr>
        <w:keepNext w:val="0"/>
        <w:keepLines w:val="0"/>
        <w:widowControl/>
        <w:suppressLineNumbers w:val="0"/>
        <w:jc w:val="left"/>
      </w:pPr>
      <w:r>
        <w:rPr>
          <w:rStyle w:val="8"/>
          <w:rFonts w:ascii="宋体" w:hAnsi="宋体" w:eastAsia="宋体" w:cs="宋体"/>
          <w:b/>
          <w:kern w:val="0"/>
          <w:sz w:val="24"/>
          <w:szCs w:val="24"/>
          <w:lang w:val="en-US" w:eastAsia="zh-CN" w:bidi="ar"/>
        </w:rPr>
        <w:t>包：2</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14:paraId="3706C71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10AFF731">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2802D135">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14:paraId="5773A0C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73F3AC41">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40956CAE">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14:paraId="43D4F26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4CE94618">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3661390A">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14:paraId="206E4CF1">
      <w:pPr>
        <w:keepNext w:val="0"/>
        <w:keepLines w:val="0"/>
        <w:widowControl/>
        <w:suppressLineNumbers w:val="0"/>
        <w:jc w:val="left"/>
        <w:rPr>
          <w:rStyle w:val="8"/>
          <w:rFonts w:ascii="宋体" w:hAnsi="宋体" w:eastAsia="宋体" w:cs="宋体"/>
          <w:b/>
          <w:kern w:val="0"/>
          <w:sz w:val="24"/>
          <w:szCs w:val="24"/>
          <w:lang w:val="en-US" w:eastAsia="zh-CN" w:bidi="ar"/>
        </w:rPr>
      </w:pPr>
    </w:p>
    <w:p w14:paraId="0C14127E">
      <w:pPr>
        <w:keepNext w:val="0"/>
        <w:keepLines w:val="0"/>
        <w:widowControl/>
        <w:suppressLineNumbers w:val="0"/>
        <w:jc w:val="left"/>
        <w:rPr>
          <w:rStyle w:val="8"/>
          <w:rFonts w:ascii="宋体" w:hAnsi="宋体" w:eastAsia="宋体" w:cs="宋体"/>
          <w:b/>
          <w:kern w:val="0"/>
          <w:sz w:val="24"/>
          <w:szCs w:val="24"/>
          <w:lang w:val="en-US" w:eastAsia="zh-CN" w:bidi="ar"/>
        </w:rPr>
      </w:pPr>
    </w:p>
    <w:p w14:paraId="3BEC0E0E">
      <w:pPr>
        <w:keepNext w:val="0"/>
        <w:keepLines w:val="0"/>
        <w:widowControl/>
        <w:suppressLineNumbers w:val="0"/>
        <w:jc w:val="left"/>
        <w:rPr>
          <w:rStyle w:val="8"/>
          <w:rFonts w:ascii="宋体" w:hAnsi="宋体" w:eastAsia="宋体" w:cs="宋体"/>
          <w:b/>
          <w:kern w:val="0"/>
          <w:sz w:val="24"/>
          <w:szCs w:val="24"/>
          <w:lang w:val="en-US" w:eastAsia="zh-CN" w:bidi="ar"/>
        </w:rPr>
      </w:pPr>
    </w:p>
    <w:p w14:paraId="61775099">
      <w:pPr>
        <w:keepNext w:val="0"/>
        <w:keepLines w:val="0"/>
        <w:widowControl/>
        <w:suppressLineNumbers w:val="0"/>
        <w:jc w:val="left"/>
      </w:pPr>
      <w:r>
        <w:rPr>
          <w:rStyle w:val="8"/>
          <w:rFonts w:ascii="宋体" w:hAnsi="宋体" w:eastAsia="宋体" w:cs="宋体"/>
          <w:b/>
          <w:kern w:val="0"/>
          <w:sz w:val="24"/>
          <w:szCs w:val="24"/>
          <w:lang w:val="en-US" w:eastAsia="zh-CN" w:bidi="ar"/>
        </w:rPr>
        <w:t>包：3</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14:paraId="1F3E17F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73133901">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56B72FC0">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14:paraId="45BA474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1D466DAD">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2B2DD8CC">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14:paraId="00C9A01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486182F9">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73038370">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14:paraId="0CE87DBE">
      <w:pPr>
        <w:keepNext w:val="0"/>
        <w:keepLines w:val="0"/>
        <w:widowControl/>
        <w:suppressLineNumbers w:val="0"/>
        <w:jc w:val="left"/>
      </w:pPr>
      <w:r>
        <w:rPr>
          <w:rStyle w:val="8"/>
          <w:rFonts w:ascii="宋体" w:hAnsi="宋体" w:eastAsia="宋体" w:cs="宋体"/>
          <w:b/>
          <w:kern w:val="0"/>
          <w:sz w:val="24"/>
          <w:szCs w:val="24"/>
          <w:lang w:val="en-US" w:eastAsia="zh-CN" w:bidi="ar"/>
        </w:rPr>
        <w:t>包：4</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14:paraId="62A5AB7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6875D97D">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490EEBF6">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14:paraId="2440BB1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19686653">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1D9568B3">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14:paraId="6C917D4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275B1370">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24F40DA7">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14:paraId="297F10EF">
      <w:pPr>
        <w:keepNext w:val="0"/>
        <w:keepLines w:val="0"/>
        <w:widowControl/>
        <w:suppressLineNumbers w:val="0"/>
        <w:jc w:val="left"/>
        <w:rPr>
          <w:rStyle w:val="8"/>
          <w:rFonts w:ascii="宋体" w:hAnsi="宋体" w:eastAsia="宋体" w:cs="宋体"/>
          <w:b/>
          <w:kern w:val="0"/>
          <w:sz w:val="24"/>
          <w:szCs w:val="24"/>
          <w:lang w:val="en-US" w:eastAsia="zh-CN" w:bidi="ar"/>
        </w:rPr>
      </w:pPr>
    </w:p>
    <w:p w14:paraId="7256A0EA">
      <w:pPr>
        <w:keepNext w:val="0"/>
        <w:keepLines w:val="0"/>
        <w:widowControl/>
        <w:suppressLineNumbers w:val="0"/>
        <w:jc w:val="left"/>
        <w:rPr>
          <w:rStyle w:val="8"/>
          <w:rFonts w:ascii="宋体" w:hAnsi="宋体" w:eastAsia="宋体" w:cs="宋体"/>
          <w:b/>
          <w:kern w:val="0"/>
          <w:sz w:val="24"/>
          <w:szCs w:val="24"/>
          <w:lang w:val="en-US" w:eastAsia="zh-CN" w:bidi="ar"/>
        </w:rPr>
      </w:pPr>
    </w:p>
    <w:p w14:paraId="4792A616">
      <w:pPr>
        <w:keepNext w:val="0"/>
        <w:keepLines w:val="0"/>
        <w:widowControl/>
        <w:suppressLineNumbers w:val="0"/>
        <w:jc w:val="left"/>
        <w:rPr>
          <w:rStyle w:val="8"/>
          <w:rFonts w:ascii="宋体" w:hAnsi="宋体" w:eastAsia="宋体" w:cs="宋体"/>
          <w:b/>
          <w:kern w:val="0"/>
          <w:sz w:val="24"/>
          <w:szCs w:val="24"/>
          <w:lang w:val="en-US" w:eastAsia="zh-CN" w:bidi="ar"/>
        </w:rPr>
      </w:pPr>
    </w:p>
    <w:p w14:paraId="5A2A2A1A">
      <w:pPr>
        <w:keepNext w:val="0"/>
        <w:keepLines w:val="0"/>
        <w:widowControl/>
        <w:suppressLineNumbers w:val="0"/>
        <w:jc w:val="left"/>
        <w:rPr>
          <w:rStyle w:val="8"/>
          <w:rFonts w:ascii="宋体" w:hAnsi="宋体" w:eastAsia="宋体" w:cs="宋体"/>
          <w:b/>
          <w:kern w:val="0"/>
          <w:sz w:val="24"/>
          <w:szCs w:val="24"/>
          <w:lang w:val="en-US" w:eastAsia="zh-CN" w:bidi="ar"/>
        </w:rPr>
      </w:pPr>
    </w:p>
    <w:p w14:paraId="1A5C9FE7">
      <w:pPr>
        <w:keepNext w:val="0"/>
        <w:keepLines w:val="0"/>
        <w:widowControl/>
        <w:suppressLineNumbers w:val="0"/>
        <w:jc w:val="left"/>
      </w:pPr>
      <w:r>
        <w:rPr>
          <w:rStyle w:val="8"/>
          <w:rFonts w:ascii="宋体" w:hAnsi="宋体" w:eastAsia="宋体" w:cs="宋体"/>
          <w:b/>
          <w:kern w:val="0"/>
          <w:sz w:val="24"/>
          <w:szCs w:val="24"/>
          <w:lang w:val="en-US" w:eastAsia="zh-CN" w:bidi="ar"/>
        </w:rPr>
        <w:t>包：5</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14:paraId="005EB91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7F4B14AD">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298F0E8A">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14:paraId="6BC7181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66014A59">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291ECF2B">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14:paraId="2CE2E3C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38DEBAD2">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3C538118">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14:paraId="41A045D8">
      <w:pPr>
        <w:keepNext w:val="0"/>
        <w:keepLines w:val="0"/>
        <w:widowControl/>
        <w:suppressLineNumbers w:val="0"/>
        <w:jc w:val="left"/>
      </w:pPr>
      <w:r>
        <w:rPr>
          <w:rStyle w:val="8"/>
          <w:rFonts w:ascii="宋体" w:hAnsi="宋体" w:eastAsia="宋体" w:cs="宋体"/>
          <w:b/>
          <w:kern w:val="0"/>
          <w:sz w:val="24"/>
          <w:szCs w:val="24"/>
          <w:lang w:val="en-US" w:eastAsia="zh-CN" w:bidi="ar"/>
        </w:rPr>
        <w:t>包：6</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14:paraId="77A6359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548099D8">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3D70F8D1">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14:paraId="06F455F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2A1F0921">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6609839F">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14:paraId="644201E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29D5098D">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39877C77">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14:paraId="7649990F">
      <w:pPr>
        <w:keepNext w:val="0"/>
        <w:keepLines w:val="0"/>
        <w:widowControl/>
        <w:suppressLineNumbers w:val="0"/>
        <w:jc w:val="left"/>
        <w:rPr>
          <w:rStyle w:val="8"/>
          <w:rFonts w:ascii="宋体" w:hAnsi="宋体" w:eastAsia="宋体" w:cs="宋体"/>
          <w:b/>
          <w:kern w:val="0"/>
          <w:sz w:val="24"/>
          <w:szCs w:val="24"/>
          <w:lang w:val="en-US" w:eastAsia="zh-CN" w:bidi="ar"/>
        </w:rPr>
      </w:pPr>
    </w:p>
    <w:p w14:paraId="373E86B8">
      <w:pPr>
        <w:keepNext w:val="0"/>
        <w:keepLines w:val="0"/>
        <w:widowControl/>
        <w:suppressLineNumbers w:val="0"/>
        <w:jc w:val="left"/>
        <w:rPr>
          <w:rStyle w:val="8"/>
          <w:rFonts w:ascii="宋体" w:hAnsi="宋体" w:eastAsia="宋体" w:cs="宋体"/>
          <w:b/>
          <w:kern w:val="0"/>
          <w:sz w:val="24"/>
          <w:szCs w:val="24"/>
          <w:lang w:val="en-US" w:eastAsia="zh-CN" w:bidi="ar"/>
        </w:rPr>
      </w:pPr>
    </w:p>
    <w:p w14:paraId="2C3E2E0E">
      <w:pPr>
        <w:keepNext w:val="0"/>
        <w:keepLines w:val="0"/>
        <w:widowControl/>
        <w:suppressLineNumbers w:val="0"/>
        <w:jc w:val="left"/>
        <w:rPr>
          <w:rStyle w:val="8"/>
          <w:rFonts w:ascii="宋体" w:hAnsi="宋体" w:eastAsia="宋体" w:cs="宋体"/>
          <w:b/>
          <w:kern w:val="0"/>
          <w:sz w:val="24"/>
          <w:szCs w:val="24"/>
          <w:lang w:val="en-US" w:eastAsia="zh-CN" w:bidi="ar"/>
        </w:rPr>
      </w:pPr>
    </w:p>
    <w:p w14:paraId="4D4E70B8">
      <w:pPr>
        <w:keepNext w:val="0"/>
        <w:keepLines w:val="0"/>
        <w:widowControl/>
        <w:suppressLineNumbers w:val="0"/>
        <w:jc w:val="left"/>
        <w:rPr>
          <w:rStyle w:val="8"/>
          <w:rFonts w:ascii="宋体" w:hAnsi="宋体" w:eastAsia="宋体" w:cs="宋体"/>
          <w:b/>
          <w:kern w:val="0"/>
          <w:sz w:val="24"/>
          <w:szCs w:val="24"/>
          <w:lang w:val="en-US" w:eastAsia="zh-CN" w:bidi="ar"/>
        </w:rPr>
      </w:pPr>
    </w:p>
    <w:p w14:paraId="4BB62F25">
      <w:pPr>
        <w:keepNext w:val="0"/>
        <w:keepLines w:val="0"/>
        <w:widowControl/>
        <w:suppressLineNumbers w:val="0"/>
        <w:jc w:val="left"/>
      </w:pPr>
      <w:r>
        <w:rPr>
          <w:rStyle w:val="8"/>
          <w:rFonts w:ascii="宋体" w:hAnsi="宋体" w:eastAsia="宋体" w:cs="宋体"/>
          <w:b/>
          <w:kern w:val="0"/>
          <w:sz w:val="24"/>
          <w:szCs w:val="24"/>
          <w:lang w:val="en-US" w:eastAsia="zh-CN" w:bidi="ar"/>
        </w:rPr>
        <w:t>包：7</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14:paraId="040EBEA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2DBAC0FC">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3F56CA23">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14:paraId="73EAB2B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63BF5590">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350E9DE4">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14:paraId="0F2FE8D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7EC9BA76">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339495E2">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14:paraId="32E95B8C">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6.3是否接受联合体投标：不接受。</w:t>
      </w:r>
    </w:p>
    <w:p w14:paraId="78E22875">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※根据上述资格要求，投标文件中应提交的“投标人的资格及资信证明文件”详见招标文件第四章。</w:t>
      </w:r>
    </w:p>
    <w:p w14:paraId="5E30F7D0">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7、报名</w:t>
      </w:r>
    </w:p>
    <w:p w14:paraId="33A80B7C">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7.1报名期限：详见招标公告或更正公告（若有），若不一致，以更正公告（若有）为准。</w:t>
      </w:r>
    </w:p>
    <w:p w14:paraId="38FFD272">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7.2报名期限内，供应商应通过福建省政府采购网上公开信息系统的注册账号（免费注册）对本项目进行报名(请根据项目所在地，登录对应的福建省政府采购网上公开信息系统报名(即省本级网址/地市分网))，否则</w:t>
      </w:r>
      <w:r>
        <w:rPr>
          <w:rStyle w:val="8"/>
          <w:rFonts w:hint="eastAsia" w:ascii="宋体" w:hAnsi="宋体" w:eastAsia="宋体" w:cs="宋体"/>
          <w:b/>
          <w:spacing w:val="0"/>
          <w:sz w:val="24"/>
          <w:szCs w:val="24"/>
        </w:rPr>
        <w:t>投标将被拒绝。</w:t>
      </w:r>
    </w:p>
    <w:p w14:paraId="4B920F57">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8、招标文件的获取</w:t>
      </w:r>
    </w:p>
    <w:p w14:paraId="68ECB9DC">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8.1招标文件提供期限：详见招标公告或更正公告（若有），若不一致，以更正公告（若有）为准。</w:t>
      </w:r>
    </w:p>
    <w:p w14:paraId="2BFBD7D9">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8.2获取地点及方式：报名后，通过福建省政府采购网上公开信息系统以下载方式获取。</w:t>
      </w:r>
    </w:p>
    <w:p w14:paraId="37B85A88">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8.3、招标文件售价：</w:t>
      </w:r>
      <w:r>
        <w:rPr>
          <w:rFonts w:hint="default" w:ascii="Times New Roman" w:hAnsi="Times New Roman" w:cs="Times New Roman"/>
          <w:spacing w:val="0"/>
          <w:sz w:val="24"/>
          <w:szCs w:val="24"/>
        </w:rPr>
        <w:t>0</w:t>
      </w:r>
      <w:r>
        <w:rPr>
          <w:rFonts w:hint="eastAsia" w:ascii="宋体" w:hAnsi="宋体" w:eastAsia="宋体" w:cs="宋体"/>
          <w:spacing w:val="0"/>
          <w:sz w:val="24"/>
          <w:szCs w:val="24"/>
        </w:rPr>
        <w:t>元。</w:t>
      </w:r>
    </w:p>
    <w:p w14:paraId="5C577E99">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9、投标截止</w:t>
      </w:r>
    </w:p>
    <w:p w14:paraId="691C9FE8">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9.1投标截止时间：详见招标公告或更正公告（若有），若不一致，以更正公告（若有）为准。</w:t>
      </w:r>
    </w:p>
    <w:p w14:paraId="7C546D79">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9.2投标人应在投标截止时间前按照福建省政府采购网上公开信息系统设定的操作流程将电子投标文件上传至福建省政府采购网上公开信息系统，同时将</w:t>
      </w:r>
      <w:r>
        <w:rPr>
          <w:rStyle w:val="8"/>
          <w:rFonts w:hint="eastAsia" w:ascii="宋体" w:hAnsi="宋体" w:eastAsia="宋体" w:cs="宋体"/>
          <w:b/>
          <w:spacing w:val="0"/>
          <w:sz w:val="24"/>
          <w:szCs w:val="24"/>
        </w:rPr>
        <w:t>投标人的CA证书</w:t>
      </w:r>
      <w:r>
        <w:rPr>
          <w:rFonts w:hint="eastAsia" w:ascii="宋体" w:hAnsi="宋体" w:eastAsia="宋体" w:cs="宋体"/>
          <w:spacing w:val="0"/>
          <w:sz w:val="24"/>
          <w:szCs w:val="24"/>
        </w:rPr>
        <w:t>连同</w:t>
      </w:r>
      <w:r>
        <w:rPr>
          <w:rStyle w:val="8"/>
          <w:rFonts w:hint="eastAsia" w:ascii="宋体" w:hAnsi="宋体" w:eastAsia="宋体" w:cs="宋体"/>
          <w:b/>
          <w:spacing w:val="0"/>
          <w:sz w:val="24"/>
          <w:szCs w:val="24"/>
        </w:rPr>
        <w:t>密封的纸质投标文件</w:t>
      </w:r>
      <w:r>
        <w:rPr>
          <w:rFonts w:hint="eastAsia" w:ascii="宋体" w:hAnsi="宋体" w:eastAsia="宋体" w:cs="宋体"/>
          <w:spacing w:val="0"/>
          <w:sz w:val="24"/>
          <w:szCs w:val="24"/>
        </w:rPr>
        <w:t>送达招标文件第一章第10条载明的地点，否则</w:t>
      </w:r>
      <w:r>
        <w:rPr>
          <w:rStyle w:val="8"/>
          <w:rFonts w:hint="eastAsia" w:ascii="宋体" w:hAnsi="宋体" w:eastAsia="宋体" w:cs="宋体"/>
          <w:b/>
          <w:spacing w:val="0"/>
          <w:sz w:val="24"/>
          <w:szCs w:val="24"/>
        </w:rPr>
        <w:t>投标将被拒绝。</w:t>
      </w:r>
    </w:p>
    <w:p w14:paraId="1CFAE14D">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10、开标时间及地点：详见招标公告或更正公告（若有），若不一致，以更正公告（若有）为准。</w:t>
      </w:r>
      <w:r>
        <w:rPr>
          <w:rStyle w:val="8"/>
          <w:rFonts w:hint="eastAsia" w:ascii="宋体" w:hAnsi="宋体" w:eastAsia="宋体" w:cs="宋体"/>
          <w:b/>
          <w:spacing w:val="0"/>
          <w:sz w:val="24"/>
          <w:szCs w:val="24"/>
        </w:rPr>
        <w:t> </w:t>
      </w:r>
    </w:p>
    <w:p w14:paraId="3BBA6286">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11、公告期限</w:t>
      </w:r>
    </w:p>
    <w:p w14:paraId="7D26D2F5">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11.1招标公告的公告期限：自财政部和福建省财政厅指定的政府采购信息发布媒体最先发布公告之日起</w:t>
      </w:r>
      <w:r>
        <w:rPr>
          <w:rFonts w:hint="default" w:ascii="Times New Roman" w:hAnsi="Times New Roman" w:cs="Times New Roman"/>
          <w:spacing w:val="0"/>
          <w:sz w:val="24"/>
          <w:szCs w:val="24"/>
        </w:rPr>
        <w:t>5</w:t>
      </w:r>
      <w:r>
        <w:rPr>
          <w:rFonts w:hint="eastAsia" w:ascii="宋体" w:hAnsi="宋体" w:eastAsia="宋体" w:cs="宋体"/>
          <w:spacing w:val="0"/>
          <w:sz w:val="24"/>
          <w:szCs w:val="24"/>
        </w:rPr>
        <w:t>个工作日。</w:t>
      </w:r>
    </w:p>
    <w:p w14:paraId="36FE9CA3">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11.2招标文件公告期限：招标文件随同招标公告一并发布，其公告期限与本章第</w:t>
      </w:r>
      <w:r>
        <w:rPr>
          <w:rFonts w:hint="default" w:ascii="Times New Roman" w:hAnsi="Times New Roman" w:cs="Times New Roman"/>
          <w:spacing w:val="0"/>
          <w:sz w:val="24"/>
          <w:szCs w:val="24"/>
        </w:rPr>
        <w:t>11.1</w:t>
      </w:r>
      <w:r>
        <w:rPr>
          <w:rFonts w:hint="eastAsia" w:ascii="宋体" w:hAnsi="宋体" w:eastAsia="宋体" w:cs="宋体"/>
          <w:spacing w:val="0"/>
          <w:sz w:val="24"/>
          <w:szCs w:val="24"/>
        </w:rPr>
        <w:t>条载明的期限保持一致。</w:t>
      </w:r>
    </w:p>
    <w:p w14:paraId="24421DB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12、采购人：福建省粮食和物资储备局</w:t>
      </w:r>
    </w:p>
    <w:p w14:paraId="0B8E9C5F">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地址：福州市鼓屏路60号</w:t>
      </w:r>
    </w:p>
    <w:p w14:paraId="72FB0AA5">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联系方法：0591-22026531</w:t>
      </w:r>
    </w:p>
    <w:p w14:paraId="33EEDF9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13、代理机构：福建省顺鑫招标代理有限公司</w:t>
      </w:r>
    </w:p>
    <w:p w14:paraId="3AFE0777">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地址：福州市鼓楼区鼓屏路130号第三层办公楼</w:t>
      </w:r>
    </w:p>
    <w:p w14:paraId="33ED6768">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联系方法：0591-83765885</w:t>
      </w:r>
    </w:p>
    <w:p w14:paraId="36A2EF30">
      <w:pPr>
        <w:pStyle w:val="5"/>
        <w:keepNext w:val="0"/>
        <w:keepLines w:val="0"/>
        <w:widowControl/>
        <w:suppressLineNumbers w:val="0"/>
        <w:spacing w:before="75" w:beforeAutospacing="0" w:after="75" w:afterAutospacing="0"/>
        <w:ind w:left="0" w:right="0" w:firstLine="0"/>
      </w:pPr>
      <w:r>
        <w:rPr>
          <w:spacing w:val="0"/>
          <w:sz w:val="24"/>
          <w:szCs w:val="24"/>
        </w:rPr>
        <w:t> </w:t>
      </w:r>
    </w:p>
    <w:p w14:paraId="31F3E2FC">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br w:type="textWrapping"/>
      </w:r>
      <w:r>
        <w:rPr>
          <w:rFonts w:hint="eastAsia" w:ascii="宋体" w:hAnsi="宋体" w:eastAsia="宋体" w:cs="宋体"/>
          <w:spacing w:val="0"/>
          <w:sz w:val="24"/>
          <w:szCs w:val="24"/>
        </w:rPr>
        <w:t>附1：账户信息</w:t>
      </w:r>
    </w:p>
    <w:tbl>
      <w:tblPr>
        <w:tblStyle w:val="6"/>
        <w:tblW w:w="9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9080"/>
      </w:tblGrid>
      <w:tr w14:paraId="1CC8A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6" w:hRule="atLeast"/>
        </w:trPr>
        <w:tc>
          <w:tcPr>
            <w:tcW w:w="9080" w:type="dxa"/>
            <w:tcBorders>
              <w:tl2br w:val="nil"/>
              <w:tr2bl w:val="nil"/>
            </w:tcBorders>
            <w:shd w:val="clear" w:color="auto" w:fill="auto"/>
            <w:tcMar>
              <w:top w:w="0" w:type="dxa"/>
              <w:left w:w="105" w:type="dxa"/>
              <w:bottom w:w="0" w:type="dxa"/>
              <w:right w:w="105" w:type="dxa"/>
            </w:tcMar>
            <w:vAlign w:val="center"/>
          </w:tcPr>
          <w:p w14:paraId="1E5CF1E4">
            <w:pPr>
              <w:pStyle w:val="5"/>
              <w:keepNext w:val="0"/>
              <w:keepLines w:val="0"/>
              <w:widowControl/>
              <w:suppressLineNumbers w:val="0"/>
              <w:spacing w:before="0" w:beforeAutospacing="0" w:after="0" w:afterAutospacing="0"/>
              <w:ind w:left="0" w:right="0"/>
              <w:jc w:val="center"/>
            </w:pPr>
            <w:r>
              <w:rPr>
                <w:rStyle w:val="8"/>
                <w:rFonts w:hint="eastAsia" w:ascii="宋体" w:hAnsi="宋体" w:eastAsia="宋体" w:cs="宋体"/>
                <w:b/>
                <w:spacing w:val="0"/>
                <w:sz w:val="24"/>
                <w:szCs w:val="24"/>
              </w:rPr>
              <w:t>投标保证金账户</w:t>
            </w:r>
          </w:p>
        </w:tc>
      </w:tr>
      <w:tr w14:paraId="4543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6" w:hRule="atLeast"/>
        </w:trPr>
        <w:tc>
          <w:tcPr>
            <w:tcW w:w="9080" w:type="dxa"/>
            <w:tcBorders>
              <w:tl2br w:val="nil"/>
              <w:tr2bl w:val="nil"/>
            </w:tcBorders>
            <w:shd w:val="clear" w:color="auto" w:fill="auto"/>
            <w:tcMar>
              <w:top w:w="0" w:type="dxa"/>
              <w:left w:w="105" w:type="dxa"/>
              <w:bottom w:w="0" w:type="dxa"/>
              <w:right w:w="105" w:type="dxa"/>
            </w:tcMar>
            <w:vAlign w:val="top"/>
          </w:tcPr>
          <w:p w14:paraId="163CDC98">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开户名称：</w:t>
            </w:r>
            <w:r>
              <w:rPr>
                <w:rFonts w:hint="eastAsia" w:ascii="宋体" w:hAnsi="宋体" w:eastAsia="宋体" w:cs="宋体"/>
                <w:spacing w:val="0"/>
                <w:sz w:val="24"/>
                <w:szCs w:val="24"/>
                <w:u w:val="single"/>
                <w:shd w:val="clear" w:fill="FFFFFF"/>
              </w:rPr>
              <w:t>福建省顺鑫招标代理有限公司</w:t>
            </w:r>
          </w:p>
        </w:tc>
      </w:tr>
      <w:tr w14:paraId="2F4D1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trPr>
        <w:tc>
          <w:tcPr>
            <w:tcW w:w="9080" w:type="dxa"/>
            <w:tcBorders>
              <w:tl2br w:val="nil"/>
              <w:tr2bl w:val="nil"/>
            </w:tcBorders>
            <w:shd w:val="clear" w:color="auto" w:fill="auto"/>
            <w:tcMar>
              <w:top w:w="0" w:type="dxa"/>
              <w:left w:w="105" w:type="dxa"/>
              <w:bottom w:w="0" w:type="dxa"/>
              <w:right w:w="105" w:type="dxa"/>
            </w:tcMar>
            <w:vAlign w:val="top"/>
          </w:tcPr>
          <w:p w14:paraId="2B39886D">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开户银行：</w:t>
            </w:r>
            <w:r>
              <w:rPr>
                <w:rFonts w:hint="eastAsia" w:ascii="宋体" w:hAnsi="宋体" w:eastAsia="宋体" w:cs="宋体"/>
                <w:spacing w:val="0"/>
                <w:sz w:val="24"/>
                <w:szCs w:val="24"/>
                <w:u w:val="none"/>
              </w:rPr>
              <w:t>供应商在福建省政府采购网上公开信息系统报名后，根据其提示自行选择要缴交的投标保证金托管银行</w:t>
            </w:r>
            <w:r>
              <w:rPr>
                <w:rFonts w:hint="eastAsia" w:ascii="宋体" w:hAnsi="宋体" w:eastAsia="宋体" w:cs="宋体"/>
                <w:spacing w:val="0"/>
                <w:sz w:val="24"/>
                <w:szCs w:val="24"/>
              </w:rPr>
              <w:t>。</w:t>
            </w:r>
          </w:p>
        </w:tc>
      </w:tr>
      <w:tr w14:paraId="3C84E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918" w:hRule="atLeast"/>
        </w:trPr>
        <w:tc>
          <w:tcPr>
            <w:tcW w:w="9080" w:type="dxa"/>
            <w:tcBorders>
              <w:tl2br w:val="nil"/>
              <w:tr2bl w:val="nil"/>
            </w:tcBorders>
            <w:shd w:val="clear" w:color="auto" w:fill="auto"/>
            <w:tcMar>
              <w:top w:w="0" w:type="dxa"/>
              <w:left w:w="105" w:type="dxa"/>
              <w:bottom w:w="0" w:type="dxa"/>
              <w:right w:w="105" w:type="dxa"/>
            </w:tcMar>
            <w:vAlign w:val="top"/>
          </w:tcPr>
          <w:p w14:paraId="14017D25">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银行账号：</w:t>
            </w:r>
            <w:r>
              <w:rPr>
                <w:rFonts w:hint="eastAsia" w:ascii="宋体" w:hAnsi="宋体" w:eastAsia="宋体" w:cs="宋体"/>
                <w:spacing w:val="0"/>
                <w:sz w:val="24"/>
                <w:szCs w:val="24"/>
                <w:u w:val="none"/>
              </w:rPr>
              <w:t>福建省政府采购网上公开信息系统根据供应商选择的投标保证金托管银行，以合同包为单位，自动生成供应商所投合同包的缴交银行账号（即多个合同包将对应生成多个缴交账号）。供应商应按照所投合同包的投标保证金要求，缴交相应的投标保证金。</w:t>
            </w:r>
          </w:p>
        </w:tc>
      </w:tr>
      <w:tr w14:paraId="3A119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06" w:hRule="atLeast"/>
        </w:trPr>
        <w:tc>
          <w:tcPr>
            <w:tcW w:w="9080" w:type="dxa"/>
            <w:tcBorders>
              <w:tl2br w:val="nil"/>
              <w:tr2bl w:val="nil"/>
            </w:tcBorders>
            <w:shd w:val="clear" w:color="auto" w:fill="auto"/>
            <w:tcMar>
              <w:top w:w="0" w:type="dxa"/>
              <w:left w:w="105" w:type="dxa"/>
              <w:bottom w:w="0" w:type="dxa"/>
              <w:right w:w="105" w:type="dxa"/>
            </w:tcMar>
            <w:vAlign w:val="center"/>
          </w:tcPr>
          <w:p w14:paraId="2BE5A8A3">
            <w:pPr>
              <w:pStyle w:val="5"/>
              <w:keepNext w:val="0"/>
              <w:keepLines w:val="0"/>
              <w:widowControl/>
              <w:suppressLineNumbers w:val="0"/>
              <w:spacing w:before="0" w:beforeAutospacing="0" w:after="0" w:afterAutospacing="0"/>
              <w:ind w:left="0" w:right="0"/>
              <w:jc w:val="center"/>
            </w:pPr>
            <w:r>
              <w:rPr>
                <w:rStyle w:val="8"/>
                <w:rFonts w:hint="eastAsia" w:ascii="宋体" w:hAnsi="宋体" w:eastAsia="宋体" w:cs="宋体"/>
                <w:b/>
                <w:spacing w:val="0"/>
                <w:sz w:val="24"/>
                <w:szCs w:val="24"/>
              </w:rPr>
              <w:t>特别提示</w:t>
            </w:r>
          </w:p>
        </w:tc>
      </w:tr>
      <w:tr w14:paraId="14CDF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23" w:hRule="atLeast"/>
        </w:trPr>
        <w:tc>
          <w:tcPr>
            <w:tcW w:w="9080" w:type="dxa"/>
            <w:tcBorders>
              <w:tl2br w:val="nil"/>
              <w:tr2bl w:val="nil"/>
            </w:tcBorders>
            <w:shd w:val="clear" w:color="auto" w:fill="auto"/>
            <w:tcMar>
              <w:top w:w="0" w:type="dxa"/>
              <w:left w:w="105" w:type="dxa"/>
              <w:bottom w:w="0" w:type="dxa"/>
              <w:right w:w="105" w:type="dxa"/>
            </w:tcMar>
            <w:vAlign w:val="top"/>
          </w:tcPr>
          <w:p w14:paraId="6712D59F">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1、投标人应认真核对账户信息，将投标保证金汇入以上账户，并自行承担因汇错投标保证金而产生的一切后果。</w:t>
            </w:r>
          </w:p>
          <w:p w14:paraId="6E80417B">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2、投标人在转账或电汇的凭证上应按照以下格式注明，以便核对：“（招标编号：</w:t>
            </w:r>
            <w:r>
              <w:rPr>
                <w:rFonts w:hint="default" w:ascii="Times New Roman" w:hAnsi="Times New Roman" w:cs="Times New Roman"/>
                <w:spacing w:val="0"/>
                <w:sz w:val="24"/>
                <w:szCs w:val="24"/>
              </w:rPr>
              <w:t>***</w:t>
            </w:r>
            <w:r>
              <w:rPr>
                <w:rFonts w:hint="eastAsia" w:ascii="宋体" w:hAnsi="宋体" w:eastAsia="宋体" w:cs="宋体"/>
                <w:spacing w:val="0"/>
                <w:sz w:val="24"/>
                <w:szCs w:val="24"/>
              </w:rPr>
              <w:t>、合同包：</w:t>
            </w:r>
            <w:r>
              <w:rPr>
                <w:rFonts w:hint="default" w:ascii="Times New Roman" w:hAnsi="Times New Roman" w:cs="Times New Roman"/>
                <w:spacing w:val="0"/>
                <w:sz w:val="24"/>
                <w:szCs w:val="24"/>
              </w:rPr>
              <w:t>***</w:t>
            </w:r>
            <w:r>
              <w:rPr>
                <w:rFonts w:hint="eastAsia" w:ascii="宋体" w:hAnsi="宋体" w:eastAsia="宋体" w:cs="宋体"/>
                <w:spacing w:val="0"/>
                <w:sz w:val="24"/>
                <w:szCs w:val="24"/>
              </w:rPr>
              <w:t>）的投标保证金”。</w:t>
            </w:r>
          </w:p>
        </w:tc>
      </w:tr>
    </w:tbl>
    <w:p w14:paraId="10FDF384">
      <w:pPr>
        <w:pStyle w:val="5"/>
        <w:keepNext w:val="0"/>
        <w:keepLines w:val="0"/>
        <w:widowControl/>
        <w:suppressLineNumbers w:val="0"/>
        <w:spacing w:before="75" w:beforeAutospacing="0" w:after="75" w:afterAutospacing="0"/>
        <w:ind w:left="0" w:right="0" w:firstLine="0"/>
      </w:pPr>
      <w:r>
        <w:rPr>
          <w:spacing w:val="0"/>
          <w:sz w:val="24"/>
          <w:szCs w:val="24"/>
        </w:rPr>
        <w:t> </w:t>
      </w:r>
    </w:p>
    <w:p w14:paraId="462FBE93">
      <w:pPr>
        <w:pStyle w:val="5"/>
        <w:keepNext w:val="0"/>
        <w:keepLines w:val="0"/>
        <w:widowControl/>
        <w:suppressLineNumbers w:val="0"/>
        <w:spacing w:before="75" w:beforeAutospacing="0" w:after="75" w:afterAutospacing="0"/>
        <w:ind w:left="0" w:right="0" w:firstLine="480"/>
      </w:pPr>
      <w:r>
        <w:rPr>
          <w:spacing w:val="0"/>
          <w:sz w:val="24"/>
          <w:szCs w:val="24"/>
        </w:rPr>
        <w:t> </w:t>
      </w:r>
    </w:p>
    <w:p w14:paraId="7826D605">
      <w:pPr>
        <w:pStyle w:val="5"/>
        <w:keepNext w:val="0"/>
        <w:keepLines w:val="0"/>
        <w:widowControl/>
        <w:suppressLineNumbers w:val="0"/>
        <w:spacing w:before="75" w:beforeAutospacing="0" w:after="75" w:afterAutospacing="0"/>
        <w:ind w:left="0" w:right="0" w:firstLine="0"/>
      </w:pPr>
      <w:r>
        <w:rPr>
          <w:spacing w:val="0"/>
          <w:sz w:val="24"/>
          <w:szCs w:val="24"/>
        </w:rPr>
        <w:t> </w:t>
      </w:r>
    </w:p>
    <w:p w14:paraId="4642EA2D">
      <w:pPr>
        <w:pStyle w:val="5"/>
        <w:keepNext w:val="0"/>
        <w:keepLines w:val="0"/>
        <w:widowControl/>
        <w:suppressLineNumbers w:val="0"/>
        <w:spacing w:before="75" w:beforeAutospacing="0" w:after="75" w:afterAutospacing="0"/>
        <w:ind w:left="0" w:right="0" w:firstLine="0"/>
      </w:pPr>
      <w:r>
        <w:rPr>
          <w:spacing w:val="0"/>
          <w:sz w:val="24"/>
          <w:szCs w:val="24"/>
        </w:rPr>
        <w:t> </w:t>
      </w:r>
    </w:p>
    <w:p w14:paraId="1DD970C2">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0C60907C">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5A968725">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191DF398">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3F61D6D4">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附</w:t>
      </w:r>
      <w:r>
        <w:rPr>
          <w:spacing w:val="0"/>
          <w:sz w:val="24"/>
          <w:szCs w:val="24"/>
        </w:rPr>
        <w:t>2</w:t>
      </w:r>
      <w:r>
        <w:rPr>
          <w:rFonts w:hint="eastAsia" w:ascii="宋体" w:hAnsi="宋体" w:eastAsia="宋体" w:cs="宋体"/>
          <w:spacing w:val="0"/>
          <w:sz w:val="24"/>
          <w:szCs w:val="24"/>
        </w:rPr>
        <w:t>：采购标的一览表</w:t>
      </w:r>
    </w:p>
    <w:p w14:paraId="013874DA">
      <w:pPr>
        <w:pStyle w:val="5"/>
        <w:keepNext w:val="0"/>
        <w:keepLines w:val="0"/>
        <w:widowControl/>
        <w:suppressLineNumbers w:val="0"/>
        <w:spacing w:before="75" w:beforeAutospacing="0" w:after="75" w:afterAutospacing="0"/>
        <w:ind w:left="0" w:right="0" w:firstLine="0"/>
      </w:pPr>
      <w:r>
        <w:rPr>
          <w:spacing w:val="0"/>
          <w:sz w:val="24"/>
          <w:szCs w:val="24"/>
        </w:rPr>
        <w:t> </w:t>
      </w:r>
    </w:p>
    <w:p w14:paraId="61A3A9F2">
      <w:pPr>
        <w:pStyle w:val="5"/>
        <w:keepNext w:val="0"/>
        <w:keepLines w:val="0"/>
        <w:widowControl/>
        <w:suppressLineNumbers w:val="0"/>
        <w:spacing w:before="0" w:beforeAutospacing="0" w:after="150" w:afterAutospacing="0"/>
        <w:ind w:left="0" w:right="0"/>
        <w:jc w:val="right"/>
      </w:pPr>
      <w:r>
        <w:rPr>
          <w:rFonts w:hint="eastAsia" w:ascii="宋体" w:hAnsi="宋体" w:eastAsia="宋体" w:cs="宋体"/>
        </w:rPr>
        <w:t>金额单位：人民币元</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28"/>
        <w:gridCol w:w="708"/>
        <w:gridCol w:w="1198"/>
        <w:gridCol w:w="623"/>
        <w:gridCol w:w="738"/>
        <w:gridCol w:w="1710"/>
        <w:gridCol w:w="856"/>
        <w:gridCol w:w="1661"/>
      </w:tblGrid>
      <w:tr w14:paraId="5516CD2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28" w:type="dxa"/>
            <w:tcBorders>
              <w:top w:val="outset" w:color="auto" w:sz="6" w:space="0"/>
              <w:left w:val="outset" w:color="auto" w:sz="6" w:space="0"/>
              <w:bottom w:val="outset" w:color="auto" w:sz="6" w:space="0"/>
              <w:right w:val="outset" w:color="auto" w:sz="6" w:space="0"/>
            </w:tcBorders>
            <w:shd w:val="clear" w:color="auto" w:fill="auto"/>
            <w:vAlign w:val="center"/>
          </w:tcPr>
          <w:p w14:paraId="04E8B499">
            <w:pPr>
              <w:keepNext w:val="0"/>
              <w:keepLines w:val="0"/>
              <w:widowControl/>
              <w:suppressLineNumbers w:val="0"/>
              <w:jc w:val="center"/>
            </w:pPr>
            <w:r>
              <w:rPr>
                <w:rFonts w:ascii="宋体" w:hAnsi="宋体" w:eastAsia="宋体" w:cs="宋体"/>
                <w:kern w:val="0"/>
                <w:sz w:val="24"/>
                <w:szCs w:val="24"/>
                <w:lang w:val="en-US" w:eastAsia="zh-CN" w:bidi="ar"/>
              </w:rPr>
              <w:t>合同包</w:t>
            </w:r>
          </w:p>
        </w:tc>
        <w:tc>
          <w:tcPr>
            <w:tcW w:w="708" w:type="dxa"/>
            <w:tcBorders>
              <w:top w:val="outset" w:color="auto" w:sz="6" w:space="0"/>
              <w:left w:val="outset" w:color="auto" w:sz="6" w:space="0"/>
              <w:bottom w:val="outset" w:color="auto" w:sz="6" w:space="0"/>
              <w:right w:val="outset" w:color="auto" w:sz="6" w:space="0"/>
            </w:tcBorders>
            <w:shd w:val="clear" w:color="auto" w:fill="auto"/>
            <w:vAlign w:val="center"/>
          </w:tcPr>
          <w:p w14:paraId="0B66E7B4">
            <w:pPr>
              <w:keepNext w:val="0"/>
              <w:keepLines w:val="0"/>
              <w:widowControl/>
              <w:suppressLineNumbers w:val="0"/>
              <w:jc w:val="center"/>
            </w:pPr>
            <w:r>
              <w:rPr>
                <w:rFonts w:ascii="宋体" w:hAnsi="宋体" w:eastAsia="宋体" w:cs="宋体"/>
                <w:kern w:val="0"/>
                <w:sz w:val="24"/>
                <w:szCs w:val="24"/>
                <w:lang w:val="en-US" w:eastAsia="zh-CN" w:bidi="ar"/>
              </w:rPr>
              <w:t>品目号</w:t>
            </w:r>
          </w:p>
        </w:tc>
        <w:tc>
          <w:tcPr>
            <w:tcW w:w="1198" w:type="dxa"/>
            <w:tcBorders>
              <w:top w:val="outset" w:color="auto" w:sz="6" w:space="0"/>
              <w:left w:val="outset" w:color="auto" w:sz="6" w:space="0"/>
              <w:bottom w:val="outset" w:color="auto" w:sz="6" w:space="0"/>
              <w:right w:val="outset" w:color="auto" w:sz="6" w:space="0"/>
            </w:tcBorders>
            <w:shd w:val="clear" w:color="auto" w:fill="auto"/>
            <w:vAlign w:val="center"/>
          </w:tcPr>
          <w:p w14:paraId="708E5034">
            <w:pPr>
              <w:keepNext w:val="0"/>
              <w:keepLines w:val="0"/>
              <w:widowControl/>
              <w:suppressLineNumbers w:val="0"/>
              <w:jc w:val="center"/>
            </w:pPr>
            <w:r>
              <w:rPr>
                <w:rFonts w:ascii="宋体" w:hAnsi="宋体" w:eastAsia="宋体" w:cs="宋体"/>
                <w:kern w:val="0"/>
                <w:sz w:val="24"/>
                <w:szCs w:val="24"/>
                <w:lang w:val="en-US" w:eastAsia="zh-CN" w:bidi="ar"/>
              </w:rPr>
              <w:t>采购标的</w:t>
            </w:r>
          </w:p>
        </w:tc>
        <w:tc>
          <w:tcPr>
            <w:tcW w:w="623" w:type="dxa"/>
            <w:tcBorders>
              <w:top w:val="outset" w:color="auto" w:sz="6" w:space="0"/>
              <w:left w:val="outset" w:color="auto" w:sz="6" w:space="0"/>
              <w:bottom w:val="outset" w:color="auto" w:sz="6" w:space="0"/>
              <w:right w:val="outset" w:color="auto" w:sz="6" w:space="0"/>
            </w:tcBorders>
            <w:shd w:val="clear" w:color="auto" w:fill="auto"/>
            <w:vAlign w:val="center"/>
          </w:tcPr>
          <w:p w14:paraId="4149E61F">
            <w:pPr>
              <w:keepNext w:val="0"/>
              <w:keepLines w:val="0"/>
              <w:widowControl/>
              <w:suppressLineNumbers w:val="0"/>
              <w:jc w:val="center"/>
            </w:pPr>
            <w:r>
              <w:rPr>
                <w:rFonts w:ascii="宋体" w:hAnsi="宋体" w:eastAsia="宋体" w:cs="宋体"/>
                <w:kern w:val="0"/>
                <w:sz w:val="24"/>
                <w:szCs w:val="24"/>
                <w:lang w:val="en-US" w:eastAsia="zh-CN" w:bidi="ar"/>
              </w:rPr>
              <w:t>允许进口</w:t>
            </w:r>
          </w:p>
        </w:tc>
        <w:tc>
          <w:tcPr>
            <w:tcW w:w="738" w:type="dxa"/>
            <w:tcBorders>
              <w:top w:val="outset" w:color="auto" w:sz="6" w:space="0"/>
              <w:left w:val="outset" w:color="auto" w:sz="6" w:space="0"/>
              <w:bottom w:val="outset" w:color="auto" w:sz="6" w:space="0"/>
              <w:right w:val="outset" w:color="auto" w:sz="6" w:space="0"/>
            </w:tcBorders>
            <w:shd w:val="clear" w:color="auto" w:fill="auto"/>
            <w:vAlign w:val="center"/>
          </w:tcPr>
          <w:p w14:paraId="5E6F6953">
            <w:pPr>
              <w:keepNext w:val="0"/>
              <w:keepLines w:val="0"/>
              <w:widowControl/>
              <w:suppressLineNumbers w:val="0"/>
              <w:jc w:val="center"/>
            </w:pPr>
            <w:r>
              <w:rPr>
                <w:rFonts w:ascii="宋体" w:hAnsi="宋体" w:eastAsia="宋体" w:cs="宋体"/>
                <w:kern w:val="0"/>
                <w:sz w:val="24"/>
                <w:szCs w:val="24"/>
                <w:lang w:val="en-US" w:eastAsia="zh-CN" w:bidi="ar"/>
              </w:rPr>
              <w:t>数量</w:t>
            </w:r>
          </w:p>
        </w:tc>
        <w:tc>
          <w:tcPr>
            <w:tcW w:w="1710" w:type="dxa"/>
            <w:tcBorders>
              <w:top w:val="outset" w:color="auto" w:sz="6" w:space="0"/>
              <w:left w:val="outset" w:color="auto" w:sz="6" w:space="0"/>
              <w:bottom w:val="outset" w:color="auto" w:sz="6" w:space="0"/>
              <w:right w:val="outset" w:color="auto" w:sz="6" w:space="0"/>
            </w:tcBorders>
            <w:shd w:val="clear" w:color="auto" w:fill="auto"/>
            <w:vAlign w:val="center"/>
          </w:tcPr>
          <w:p w14:paraId="3DC78991">
            <w:pPr>
              <w:keepNext w:val="0"/>
              <w:keepLines w:val="0"/>
              <w:widowControl/>
              <w:suppressLineNumbers w:val="0"/>
              <w:jc w:val="center"/>
            </w:pPr>
            <w:r>
              <w:rPr>
                <w:rFonts w:ascii="宋体" w:hAnsi="宋体" w:eastAsia="宋体" w:cs="宋体"/>
                <w:kern w:val="0"/>
                <w:sz w:val="24"/>
                <w:szCs w:val="24"/>
                <w:lang w:val="en-US" w:eastAsia="zh-CN" w:bidi="ar"/>
              </w:rPr>
              <w:t>品目号预算</w:t>
            </w:r>
          </w:p>
        </w:tc>
        <w:tc>
          <w:tcPr>
            <w:tcW w:w="856" w:type="dxa"/>
            <w:tcBorders>
              <w:top w:val="outset" w:color="auto" w:sz="6" w:space="0"/>
              <w:left w:val="outset" w:color="auto" w:sz="6" w:space="0"/>
              <w:bottom w:val="outset" w:color="auto" w:sz="6" w:space="0"/>
              <w:right w:val="outset" w:color="auto" w:sz="6" w:space="0"/>
            </w:tcBorders>
            <w:shd w:val="clear" w:color="auto" w:fill="auto"/>
            <w:vAlign w:val="center"/>
          </w:tcPr>
          <w:p w14:paraId="14905DB0">
            <w:pPr>
              <w:keepNext w:val="0"/>
              <w:keepLines w:val="0"/>
              <w:widowControl/>
              <w:suppressLineNumbers w:val="0"/>
              <w:jc w:val="center"/>
            </w:pPr>
            <w:r>
              <w:rPr>
                <w:rFonts w:ascii="宋体" w:hAnsi="宋体" w:eastAsia="宋体" w:cs="宋体"/>
                <w:kern w:val="0"/>
                <w:sz w:val="24"/>
                <w:szCs w:val="24"/>
                <w:lang w:val="en-US" w:eastAsia="zh-CN" w:bidi="ar"/>
              </w:rPr>
              <w:t>合同包预算</w:t>
            </w:r>
          </w:p>
        </w:tc>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14:paraId="261517BC">
            <w:pPr>
              <w:keepNext w:val="0"/>
              <w:keepLines w:val="0"/>
              <w:widowControl/>
              <w:suppressLineNumbers w:val="0"/>
              <w:jc w:val="center"/>
            </w:pPr>
            <w:r>
              <w:rPr>
                <w:rFonts w:ascii="宋体" w:hAnsi="宋体" w:eastAsia="宋体" w:cs="宋体"/>
                <w:kern w:val="0"/>
                <w:sz w:val="24"/>
                <w:szCs w:val="24"/>
                <w:lang w:val="en-US" w:eastAsia="zh-CN" w:bidi="ar"/>
              </w:rPr>
              <w:t>投标保证金</w:t>
            </w:r>
          </w:p>
        </w:tc>
      </w:tr>
      <w:tr w14:paraId="70829BB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28" w:type="dxa"/>
            <w:tcBorders>
              <w:top w:val="outset" w:color="auto" w:sz="6" w:space="0"/>
              <w:left w:val="outset" w:color="auto" w:sz="6" w:space="0"/>
              <w:bottom w:val="outset" w:color="auto" w:sz="6" w:space="0"/>
              <w:right w:val="outset" w:color="auto" w:sz="6" w:space="0"/>
            </w:tcBorders>
            <w:shd w:val="clear" w:color="auto" w:fill="auto"/>
            <w:vAlign w:val="center"/>
          </w:tcPr>
          <w:p w14:paraId="4765DE0C">
            <w:pPr>
              <w:keepNext w:val="0"/>
              <w:keepLines w:val="0"/>
              <w:widowControl/>
              <w:suppressLineNumbers w:val="0"/>
              <w:jc w:val="center"/>
            </w:pPr>
            <w:r>
              <w:rPr>
                <w:rFonts w:ascii="宋体" w:hAnsi="宋体" w:eastAsia="宋体" w:cs="宋体"/>
                <w:kern w:val="0"/>
                <w:sz w:val="24"/>
                <w:szCs w:val="24"/>
                <w:lang w:val="en-US" w:eastAsia="zh-CN" w:bidi="ar"/>
              </w:rPr>
              <w:t>1</w:t>
            </w:r>
          </w:p>
        </w:tc>
        <w:tc>
          <w:tcPr>
            <w:tcW w:w="4977" w:type="dxa"/>
            <w:gridSpan w:val="5"/>
            <w:tcBorders>
              <w:top w:val="outset" w:color="auto" w:sz="6" w:space="0"/>
              <w:left w:val="outset" w:color="auto" w:sz="6" w:space="0"/>
              <w:bottom w:val="outset" w:color="auto" w:sz="6" w:space="0"/>
              <w:right w:val="outset" w:color="auto" w:sz="6" w:space="0"/>
            </w:tcBorders>
            <w:shd w:val="clear" w:color="auto" w:fill="auto"/>
            <w:vAlign w:val="center"/>
          </w:tcPr>
          <w:tbl>
            <w:tblPr>
              <w:tblStyle w:val="6"/>
              <w:tblW w:w="4961" w:type="dxa"/>
              <w:jc w:val="center"/>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695"/>
              <w:gridCol w:w="1203"/>
              <w:gridCol w:w="623"/>
              <w:gridCol w:w="738"/>
              <w:gridCol w:w="1702"/>
            </w:tblGrid>
            <w:tr w14:paraId="1827B37C">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95" w:type="dxa"/>
                  <w:tcBorders>
                    <w:top w:val="outset" w:color="auto" w:sz="6" w:space="0"/>
                    <w:left w:val="outset" w:color="auto" w:sz="6" w:space="0"/>
                    <w:bottom w:val="outset" w:color="auto" w:sz="6" w:space="0"/>
                    <w:right w:val="outset" w:color="auto" w:sz="6" w:space="0"/>
                  </w:tcBorders>
                  <w:shd w:val="clear" w:color="auto" w:fill="auto"/>
                  <w:vAlign w:val="center"/>
                </w:tcPr>
                <w:p w14:paraId="5600DE5C">
                  <w:pPr>
                    <w:keepNext w:val="0"/>
                    <w:keepLines w:val="0"/>
                    <w:widowControl/>
                    <w:suppressLineNumbers w:val="0"/>
                    <w:jc w:val="center"/>
                  </w:pPr>
                  <w:r>
                    <w:rPr>
                      <w:rFonts w:ascii="宋体" w:hAnsi="宋体" w:eastAsia="宋体" w:cs="宋体"/>
                      <w:kern w:val="0"/>
                      <w:sz w:val="24"/>
                      <w:szCs w:val="24"/>
                      <w:lang w:val="en-US" w:eastAsia="zh-CN" w:bidi="ar"/>
                    </w:rPr>
                    <w:t>1-1</w:t>
                  </w:r>
                </w:p>
              </w:tc>
              <w:tc>
                <w:tcPr>
                  <w:tcW w:w="1203" w:type="dxa"/>
                  <w:tcBorders>
                    <w:top w:val="outset" w:color="auto" w:sz="6" w:space="0"/>
                    <w:left w:val="outset" w:color="auto" w:sz="6" w:space="0"/>
                    <w:bottom w:val="outset" w:color="auto" w:sz="6" w:space="0"/>
                    <w:right w:val="outset" w:color="auto" w:sz="6" w:space="0"/>
                  </w:tcBorders>
                  <w:shd w:val="clear" w:color="auto" w:fill="auto"/>
                  <w:vAlign w:val="center"/>
                </w:tcPr>
                <w:p w14:paraId="5D9DAA8C">
                  <w:pPr>
                    <w:keepNext w:val="0"/>
                    <w:keepLines w:val="0"/>
                    <w:widowControl/>
                    <w:suppressLineNumbers w:val="0"/>
                    <w:jc w:val="center"/>
                  </w:pPr>
                  <w:r>
                    <w:rPr>
                      <w:rFonts w:ascii="宋体" w:hAnsi="宋体" w:eastAsia="宋体" w:cs="宋体"/>
                      <w:kern w:val="0"/>
                      <w:sz w:val="24"/>
                      <w:szCs w:val="24"/>
                      <w:lang w:val="en-US" w:eastAsia="zh-CN" w:bidi="ar"/>
                    </w:rPr>
                    <w:t>棉大衣</w:t>
                  </w:r>
                </w:p>
              </w:tc>
              <w:tc>
                <w:tcPr>
                  <w:tcW w:w="623" w:type="dxa"/>
                  <w:tcBorders>
                    <w:top w:val="outset" w:color="auto" w:sz="6" w:space="0"/>
                    <w:left w:val="outset" w:color="auto" w:sz="6" w:space="0"/>
                    <w:bottom w:val="outset" w:color="auto" w:sz="6" w:space="0"/>
                    <w:right w:val="outset" w:color="auto" w:sz="6" w:space="0"/>
                  </w:tcBorders>
                  <w:shd w:val="clear" w:color="auto" w:fill="auto"/>
                  <w:vAlign w:val="center"/>
                </w:tcPr>
                <w:p w14:paraId="2A1A53ED">
                  <w:pPr>
                    <w:keepNext w:val="0"/>
                    <w:keepLines w:val="0"/>
                    <w:widowControl/>
                    <w:suppressLineNumbers w:val="0"/>
                    <w:jc w:val="center"/>
                  </w:pPr>
                  <w:r>
                    <w:rPr>
                      <w:rFonts w:ascii="宋体" w:hAnsi="宋体" w:eastAsia="宋体" w:cs="宋体"/>
                      <w:kern w:val="0"/>
                      <w:sz w:val="24"/>
                      <w:szCs w:val="24"/>
                      <w:lang w:val="en-US" w:eastAsia="zh-CN" w:bidi="ar"/>
                    </w:rPr>
                    <w:t>否</w:t>
                  </w:r>
                </w:p>
              </w:tc>
              <w:tc>
                <w:tcPr>
                  <w:tcW w:w="738" w:type="dxa"/>
                  <w:tcBorders>
                    <w:top w:val="outset" w:color="auto" w:sz="6" w:space="0"/>
                    <w:left w:val="outset" w:color="auto" w:sz="6" w:space="0"/>
                    <w:bottom w:val="outset" w:color="auto" w:sz="6" w:space="0"/>
                    <w:right w:val="outset" w:color="auto" w:sz="6" w:space="0"/>
                  </w:tcBorders>
                  <w:shd w:val="clear" w:color="auto" w:fill="auto"/>
                  <w:vAlign w:val="center"/>
                </w:tcPr>
                <w:p w14:paraId="2EB43ACE">
                  <w:pPr>
                    <w:keepNext w:val="0"/>
                    <w:keepLines w:val="0"/>
                    <w:widowControl/>
                    <w:suppressLineNumbers w:val="0"/>
                    <w:jc w:val="center"/>
                  </w:pPr>
                  <w:r>
                    <w:rPr>
                      <w:rFonts w:ascii="宋体" w:hAnsi="宋体" w:eastAsia="宋体" w:cs="宋体"/>
                      <w:kern w:val="0"/>
                      <w:sz w:val="24"/>
                      <w:szCs w:val="24"/>
                      <w:lang w:val="en-US" w:eastAsia="zh-CN" w:bidi="ar"/>
                    </w:rPr>
                    <w:t>10000（件）</w:t>
                  </w:r>
                </w:p>
              </w:tc>
              <w:tc>
                <w:tcPr>
                  <w:tcW w:w="1702" w:type="dxa"/>
                  <w:tcBorders>
                    <w:top w:val="outset" w:color="auto" w:sz="6" w:space="0"/>
                    <w:left w:val="outset" w:color="auto" w:sz="6" w:space="0"/>
                    <w:bottom w:val="outset" w:color="auto" w:sz="6" w:space="0"/>
                    <w:right w:val="outset" w:color="auto" w:sz="6" w:space="0"/>
                  </w:tcBorders>
                  <w:shd w:val="clear" w:color="auto" w:fill="auto"/>
                  <w:vAlign w:val="center"/>
                </w:tcPr>
                <w:p w14:paraId="1176A783">
                  <w:pPr>
                    <w:keepNext w:val="0"/>
                    <w:keepLines w:val="0"/>
                    <w:widowControl/>
                    <w:suppressLineNumbers w:val="0"/>
                    <w:jc w:val="center"/>
                  </w:pPr>
                  <w:r>
                    <w:rPr>
                      <w:rFonts w:ascii="宋体" w:hAnsi="宋体" w:eastAsia="宋体" w:cs="宋体"/>
                      <w:kern w:val="0"/>
                      <w:sz w:val="24"/>
                      <w:szCs w:val="24"/>
                      <w:lang w:val="en-US" w:eastAsia="zh-CN" w:bidi="ar"/>
                    </w:rPr>
                    <w:t>1,050,000.0000</w:t>
                  </w:r>
                </w:p>
              </w:tc>
            </w:tr>
          </w:tbl>
          <w:p w14:paraId="67B70214">
            <w:pPr>
              <w:jc w:val="center"/>
            </w:pPr>
          </w:p>
        </w:tc>
        <w:tc>
          <w:tcPr>
            <w:tcW w:w="856" w:type="dxa"/>
            <w:tcBorders>
              <w:top w:val="outset" w:color="auto" w:sz="6" w:space="0"/>
              <w:left w:val="outset" w:color="auto" w:sz="6" w:space="0"/>
              <w:bottom w:val="outset" w:color="auto" w:sz="6" w:space="0"/>
              <w:right w:val="outset" w:color="auto" w:sz="6" w:space="0"/>
            </w:tcBorders>
            <w:shd w:val="clear" w:color="auto" w:fill="auto"/>
            <w:vAlign w:val="center"/>
          </w:tcPr>
          <w:p w14:paraId="242FA469">
            <w:pPr>
              <w:keepNext w:val="0"/>
              <w:keepLines w:val="0"/>
              <w:widowControl/>
              <w:suppressLineNumbers w:val="0"/>
              <w:jc w:val="center"/>
            </w:pPr>
            <w:r>
              <w:rPr>
                <w:rFonts w:ascii="宋体" w:hAnsi="宋体" w:eastAsia="宋体" w:cs="宋体"/>
                <w:kern w:val="0"/>
                <w:sz w:val="24"/>
                <w:szCs w:val="24"/>
                <w:lang w:val="en-US" w:eastAsia="zh-CN" w:bidi="ar"/>
              </w:rPr>
              <w:t>1050000</w:t>
            </w:r>
          </w:p>
        </w:tc>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14:paraId="3D2B1A13">
            <w:pPr>
              <w:keepNext w:val="0"/>
              <w:keepLines w:val="0"/>
              <w:widowControl/>
              <w:suppressLineNumbers w:val="0"/>
              <w:jc w:val="center"/>
            </w:pPr>
            <w:r>
              <w:rPr>
                <w:rFonts w:ascii="宋体" w:hAnsi="宋体" w:eastAsia="宋体" w:cs="宋体"/>
                <w:kern w:val="0"/>
                <w:sz w:val="24"/>
                <w:szCs w:val="24"/>
                <w:lang w:val="en-US" w:eastAsia="zh-CN" w:bidi="ar"/>
              </w:rPr>
              <w:t>21000</w:t>
            </w:r>
          </w:p>
        </w:tc>
      </w:tr>
      <w:tr w14:paraId="363F481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28" w:type="dxa"/>
            <w:tcBorders>
              <w:top w:val="outset" w:color="auto" w:sz="6" w:space="0"/>
              <w:left w:val="outset" w:color="auto" w:sz="6" w:space="0"/>
              <w:bottom w:val="outset" w:color="auto" w:sz="6" w:space="0"/>
              <w:right w:val="outset" w:color="auto" w:sz="6" w:space="0"/>
            </w:tcBorders>
            <w:shd w:val="clear" w:color="auto" w:fill="auto"/>
            <w:vAlign w:val="center"/>
          </w:tcPr>
          <w:p w14:paraId="5FE20EB9">
            <w:pPr>
              <w:keepNext w:val="0"/>
              <w:keepLines w:val="0"/>
              <w:widowControl/>
              <w:suppressLineNumbers w:val="0"/>
              <w:jc w:val="center"/>
            </w:pPr>
            <w:r>
              <w:rPr>
                <w:rFonts w:ascii="宋体" w:hAnsi="宋体" w:eastAsia="宋体" w:cs="宋体"/>
                <w:kern w:val="0"/>
                <w:sz w:val="24"/>
                <w:szCs w:val="24"/>
                <w:lang w:val="en-US" w:eastAsia="zh-CN" w:bidi="ar"/>
              </w:rPr>
              <w:t>2</w:t>
            </w:r>
          </w:p>
        </w:tc>
        <w:tc>
          <w:tcPr>
            <w:tcW w:w="4977" w:type="dxa"/>
            <w:gridSpan w:val="5"/>
            <w:tcBorders>
              <w:top w:val="outset" w:color="auto" w:sz="6" w:space="0"/>
              <w:left w:val="outset" w:color="auto" w:sz="6" w:space="0"/>
              <w:bottom w:val="outset" w:color="auto" w:sz="6" w:space="0"/>
              <w:right w:val="outset" w:color="auto" w:sz="6" w:space="0"/>
            </w:tcBorders>
            <w:shd w:val="clear" w:color="auto" w:fill="auto"/>
            <w:vAlign w:val="center"/>
          </w:tcPr>
          <w:tbl>
            <w:tblPr>
              <w:tblStyle w:val="6"/>
              <w:tblW w:w="4960" w:type="dxa"/>
              <w:jc w:val="center"/>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687"/>
              <w:gridCol w:w="1213"/>
              <w:gridCol w:w="615"/>
              <w:gridCol w:w="750"/>
              <w:gridCol w:w="1695"/>
            </w:tblGrid>
            <w:tr w14:paraId="5632F82D">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87" w:type="dxa"/>
                  <w:tcBorders>
                    <w:top w:val="outset" w:color="auto" w:sz="6" w:space="0"/>
                    <w:left w:val="outset" w:color="auto" w:sz="6" w:space="0"/>
                    <w:bottom w:val="outset" w:color="auto" w:sz="6" w:space="0"/>
                    <w:right w:val="outset" w:color="auto" w:sz="6" w:space="0"/>
                  </w:tcBorders>
                  <w:shd w:val="clear" w:color="auto" w:fill="auto"/>
                  <w:vAlign w:val="center"/>
                </w:tcPr>
                <w:p w14:paraId="2414FD6A">
                  <w:pPr>
                    <w:keepNext w:val="0"/>
                    <w:keepLines w:val="0"/>
                    <w:widowControl/>
                    <w:suppressLineNumbers w:val="0"/>
                    <w:jc w:val="center"/>
                  </w:pPr>
                  <w:r>
                    <w:rPr>
                      <w:rFonts w:ascii="宋体" w:hAnsi="宋体" w:eastAsia="宋体" w:cs="宋体"/>
                      <w:kern w:val="0"/>
                      <w:sz w:val="24"/>
                      <w:szCs w:val="24"/>
                      <w:lang w:val="en-US" w:eastAsia="zh-CN" w:bidi="ar"/>
                    </w:rPr>
                    <w:t>2-1</w:t>
                  </w:r>
                </w:p>
              </w:tc>
              <w:tc>
                <w:tcPr>
                  <w:tcW w:w="1213" w:type="dxa"/>
                  <w:tcBorders>
                    <w:top w:val="outset" w:color="auto" w:sz="6" w:space="0"/>
                    <w:left w:val="outset" w:color="auto" w:sz="6" w:space="0"/>
                    <w:bottom w:val="outset" w:color="auto" w:sz="6" w:space="0"/>
                    <w:right w:val="outset" w:color="auto" w:sz="6" w:space="0"/>
                  </w:tcBorders>
                  <w:shd w:val="clear" w:color="auto" w:fill="auto"/>
                  <w:vAlign w:val="center"/>
                </w:tcPr>
                <w:p w14:paraId="4C05E01E">
                  <w:pPr>
                    <w:keepNext w:val="0"/>
                    <w:keepLines w:val="0"/>
                    <w:widowControl/>
                    <w:suppressLineNumbers w:val="0"/>
                    <w:jc w:val="center"/>
                  </w:pPr>
                  <w:r>
                    <w:rPr>
                      <w:rFonts w:ascii="宋体" w:hAnsi="宋体" w:eastAsia="宋体" w:cs="宋体"/>
                      <w:kern w:val="0"/>
                      <w:sz w:val="24"/>
                      <w:szCs w:val="24"/>
                      <w:lang w:val="en-US" w:eastAsia="zh-CN" w:bidi="ar"/>
                    </w:rPr>
                    <w:t>毛毯</w:t>
                  </w:r>
                </w:p>
              </w:tc>
              <w:tc>
                <w:tcPr>
                  <w:tcW w:w="615" w:type="dxa"/>
                  <w:tcBorders>
                    <w:top w:val="outset" w:color="auto" w:sz="6" w:space="0"/>
                    <w:left w:val="outset" w:color="auto" w:sz="6" w:space="0"/>
                    <w:bottom w:val="outset" w:color="auto" w:sz="6" w:space="0"/>
                    <w:right w:val="outset" w:color="auto" w:sz="6" w:space="0"/>
                  </w:tcBorders>
                  <w:shd w:val="clear" w:color="auto" w:fill="auto"/>
                  <w:vAlign w:val="center"/>
                </w:tcPr>
                <w:p w14:paraId="331FDFE2">
                  <w:pPr>
                    <w:keepNext w:val="0"/>
                    <w:keepLines w:val="0"/>
                    <w:widowControl/>
                    <w:suppressLineNumbers w:val="0"/>
                    <w:jc w:val="center"/>
                  </w:pPr>
                  <w:r>
                    <w:rPr>
                      <w:rFonts w:ascii="宋体" w:hAnsi="宋体" w:eastAsia="宋体" w:cs="宋体"/>
                      <w:kern w:val="0"/>
                      <w:sz w:val="24"/>
                      <w:szCs w:val="24"/>
                      <w:lang w:val="en-US" w:eastAsia="zh-CN" w:bidi="ar"/>
                    </w:rPr>
                    <w:t>否</w:t>
                  </w:r>
                </w:p>
              </w:tc>
              <w:tc>
                <w:tcPr>
                  <w:tcW w:w="750" w:type="dxa"/>
                  <w:tcBorders>
                    <w:top w:val="outset" w:color="auto" w:sz="6" w:space="0"/>
                    <w:left w:val="outset" w:color="auto" w:sz="6" w:space="0"/>
                    <w:bottom w:val="outset" w:color="auto" w:sz="6" w:space="0"/>
                    <w:right w:val="outset" w:color="auto" w:sz="6" w:space="0"/>
                  </w:tcBorders>
                  <w:shd w:val="clear" w:color="auto" w:fill="auto"/>
                  <w:vAlign w:val="center"/>
                </w:tcPr>
                <w:p w14:paraId="6E7CA487">
                  <w:pPr>
                    <w:keepNext w:val="0"/>
                    <w:keepLines w:val="0"/>
                    <w:widowControl/>
                    <w:suppressLineNumbers w:val="0"/>
                    <w:jc w:val="center"/>
                  </w:pPr>
                  <w:r>
                    <w:rPr>
                      <w:rFonts w:ascii="宋体" w:hAnsi="宋体" w:eastAsia="宋体" w:cs="宋体"/>
                      <w:kern w:val="0"/>
                      <w:sz w:val="24"/>
                      <w:szCs w:val="24"/>
                      <w:lang w:val="en-US" w:eastAsia="zh-CN" w:bidi="ar"/>
                    </w:rPr>
                    <w:t>10000（床）</w:t>
                  </w:r>
                </w:p>
              </w:tc>
              <w:tc>
                <w:tcPr>
                  <w:tcW w:w="1695" w:type="dxa"/>
                  <w:tcBorders>
                    <w:top w:val="outset" w:color="auto" w:sz="6" w:space="0"/>
                    <w:left w:val="outset" w:color="auto" w:sz="6" w:space="0"/>
                    <w:bottom w:val="outset" w:color="auto" w:sz="6" w:space="0"/>
                    <w:right w:val="outset" w:color="auto" w:sz="6" w:space="0"/>
                  </w:tcBorders>
                  <w:shd w:val="clear" w:color="auto" w:fill="auto"/>
                  <w:vAlign w:val="center"/>
                </w:tcPr>
                <w:p w14:paraId="3D95FDA7">
                  <w:pPr>
                    <w:keepNext w:val="0"/>
                    <w:keepLines w:val="0"/>
                    <w:widowControl/>
                    <w:suppressLineNumbers w:val="0"/>
                    <w:jc w:val="center"/>
                  </w:pPr>
                  <w:r>
                    <w:rPr>
                      <w:rFonts w:ascii="宋体" w:hAnsi="宋体" w:eastAsia="宋体" w:cs="宋体"/>
                      <w:kern w:val="0"/>
                      <w:sz w:val="24"/>
                      <w:szCs w:val="24"/>
                      <w:lang w:val="en-US" w:eastAsia="zh-CN" w:bidi="ar"/>
                    </w:rPr>
                    <w:t>800,000.0000</w:t>
                  </w:r>
                </w:p>
              </w:tc>
            </w:tr>
          </w:tbl>
          <w:p w14:paraId="511C1C1D">
            <w:pPr>
              <w:jc w:val="center"/>
            </w:pPr>
          </w:p>
        </w:tc>
        <w:tc>
          <w:tcPr>
            <w:tcW w:w="856" w:type="dxa"/>
            <w:tcBorders>
              <w:top w:val="outset" w:color="auto" w:sz="6" w:space="0"/>
              <w:left w:val="outset" w:color="auto" w:sz="6" w:space="0"/>
              <w:bottom w:val="outset" w:color="auto" w:sz="6" w:space="0"/>
              <w:right w:val="outset" w:color="auto" w:sz="6" w:space="0"/>
            </w:tcBorders>
            <w:shd w:val="clear" w:color="auto" w:fill="auto"/>
            <w:vAlign w:val="center"/>
          </w:tcPr>
          <w:p w14:paraId="6CB8E36E">
            <w:pPr>
              <w:keepNext w:val="0"/>
              <w:keepLines w:val="0"/>
              <w:widowControl/>
              <w:suppressLineNumbers w:val="0"/>
              <w:jc w:val="center"/>
            </w:pPr>
            <w:r>
              <w:rPr>
                <w:rFonts w:ascii="宋体" w:hAnsi="宋体" w:eastAsia="宋体" w:cs="宋体"/>
                <w:kern w:val="0"/>
                <w:sz w:val="24"/>
                <w:szCs w:val="24"/>
                <w:lang w:val="en-US" w:eastAsia="zh-CN" w:bidi="ar"/>
              </w:rPr>
              <w:t>800000</w:t>
            </w:r>
          </w:p>
        </w:tc>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14:paraId="05735931">
            <w:pPr>
              <w:keepNext w:val="0"/>
              <w:keepLines w:val="0"/>
              <w:widowControl/>
              <w:suppressLineNumbers w:val="0"/>
              <w:jc w:val="center"/>
            </w:pPr>
            <w:r>
              <w:rPr>
                <w:rFonts w:ascii="宋体" w:hAnsi="宋体" w:eastAsia="宋体" w:cs="宋体"/>
                <w:kern w:val="0"/>
                <w:sz w:val="24"/>
                <w:szCs w:val="24"/>
                <w:lang w:val="en-US" w:eastAsia="zh-CN" w:bidi="ar"/>
              </w:rPr>
              <w:t>16000</w:t>
            </w:r>
          </w:p>
        </w:tc>
      </w:tr>
      <w:tr w14:paraId="4451C7A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28" w:type="dxa"/>
            <w:tcBorders>
              <w:top w:val="outset" w:color="auto" w:sz="6" w:space="0"/>
              <w:left w:val="outset" w:color="auto" w:sz="6" w:space="0"/>
              <w:bottom w:val="outset" w:color="auto" w:sz="6" w:space="0"/>
              <w:right w:val="outset" w:color="auto" w:sz="6" w:space="0"/>
            </w:tcBorders>
            <w:shd w:val="clear" w:color="auto" w:fill="auto"/>
            <w:vAlign w:val="center"/>
          </w:tcPr>
          <w:p w14:paraId="0E6D6F84">
            <w:pPr>
              <w:keepNext w:val="0"/>
              <w:keepLines w:val="0"/>
              <w:widowControl/>
              <w:suppressLineNumbers w:val="0"/>
              <w:jc w:val="center"/>
            </w:pPr>
            <w:r>
              <w:rPr>
                <w:rFonts w:ascii="宋体" w:hAnsi="宋体" w:eastAsia="宋体" w:cs="宋体"/>
                <w:kern w:val="0"/>
                <w:sz w:val="24"/>
                <w:szCs w:val="24"/>
                <w:lang w:val="en-US" w:eastAsia="zh-CN" w:bidi="ar"/>
              </w:rPr>
              <w:t>3</w:t>
            </w:r>
          </w:p>
        </w:tc>
        <w:tc>
          <w:tcPr>
            <w:tcW w:w="4977" w:type="dxa"/>
            <w:gridSpan w:val="5"/>
            <w:tcBorders>
              <w:top w:val="outset" w:color="auto" w:sz="6" w:space="0"/>
              <w:left w:val="outset" w:color="auto" w:sz="6" w:space="0"/>
              <w:bottom w:val="outset" w:color="auto" w:sz="6" w:space="0"/>
              <w:right w:val="outset" w:color="auto" w:sz="6" w:space="0"/>
            </w:tcBorders>
            <w:shd w:val="clear" w:color="auto" w:fill="auto"/>
            <w:vAlign w:val="center"/>
          </w:tcPr>
          <w:tbl>
            <w:tblPr>
              <w:tblStyle w:val="6"/>
              <w:tblW w:w="4960" w:type="dxa"/>
              <w:jc w:val="center"/>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687"/>
              <w:gridCol w:w="1213"/>
              <w:gridCol w:w="615"/>
              <w:gridCol w:w="750"/>
              <w:gridCol w:w="1695"/>
            </w:tblGrid>
            <w:tr w14:paraId="06660A06">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87" w:type="dxa"/>
                  <w:tcBorders>
                    <w:top w:val="outset" w:color="auto" w:sz="6" w:space="0"/>
                    <w:left w:val="outset" w:color="auto" w:sz="6" w:space="0"/>
                    <w:bottom w:val="outset" w:color="auto" w:sz="6" w:space="0"/>
                    <w:right w:val="outset" w:color="auto" w:sz="6" w:space="0"/>
                  </w:tcBorders>
                  <w:shd w:val="clear" w:color="auto" w:fill="auto"/>
                  <w:vAlign w:val="center"/>
                </w:tcPr>
                <w:p w14:paraId="3A5D1804">
                  <w:pPr>
                    <w:keepNext w:val="0"/>
                    <w:keepLines w:val="0"/>
                    <w:widowControl/>
                    <w:suppressLineNumbers w:val="0"/>
                    <w:jc w:val="center"/>
                  </w:pPr>
                  <w:r>
                    <w:rPr>
                      <w:rFonts w:ascii="宋体" w:hAnsi="宋体" w:eastAsia="宋体" w:cs="宋体"/>
                      <w:kern w:val="0"/>
                      <w:sz w:val="24"/>
                      <w:szCs w:val="24"/>
                      <w:lang w:val="en-US" w:eastAsia="zh-CN" w:bidi="ar"/>
                    </w:rPr>
                    <w:t>3-1</w:t>
                  </w:r>
                </w:p>
              </w:tc>
              <w:tc>
                <w:tcPr>
                  <w:tcW w:w="1213" w:type="dxa"/>
                  <w:tcBorders>
                    <w:top w:val="outset" w:color="auto" w:sz="6" w:space="0"/>
                    <w:left w:val="outset" w:color="auto" w:sz="6" w:space="0"/>
                    <w:bottom w:val="outset" w:color="auto" w:sz="6" w:space="0"/>
                    <w:right w:val="outset" w:color="auto" w:sz="6" w:space="0"/>
                  </w:tcBorders>
                  <w:shd w:val="clear" w:color="auto" w:fill="auto"/>
                  <w:vAlign w:val="center"/>
                </w:tcPr>
                <w:p w14:paraId="4BDFC7A4">
                  <w:pPr>
                    <w:keepNext w:val="0"/>
                    <w:keepLines w:val="0"/>
                    <w:widowControl/>
                    <w:suppressLineNumbers w:val="0"/>
                    <w:jc w:val="center"/>
                  </w:pPr>
                  <w:r>
                    <w:rPr>
                      <w:rFonts w:ascii="宋体" w:hAnsi="宋体" w:eastAsia="宋体" w:cs="宋体"/>
                      <w:kern w:val="0"/>
                      <w:sz w:val="24"/>
                      <w:szCs w:val="24"/>
                      <w:lang w:val="en-US" w:eastAsia="zh-CN" w:bidi="ar"/>
                    </w:rPr>
                    <w:t>羽绒服</w:t>
                  </w:r>
                </w:p>
              </w:tc>
              <w:tc>
                <w:tcPr>
                  <w:tcW w:w="615" w:type="dxa"/>
                  <w:tcBorders>
                    <w:top w:val="outset" w:color="auto" w:sz="6" w:space="0"/>
                    <w:left w:val="outset" w:color="auto" w:sz="6" w:space="0"/>
                    <w:bottom w:val="outset" w:color="auto" w:sz="6" w:space="0"/>
                    <w:right w:val="outset" w:color="auto" w:sz="6" w:space="0"/>
                  </w:tcBorders>
                  <w:shd w:val="clear" w:color="auto" w:fill="auto"/>
                  <w:vAlign w:val="center"/>
                </w:tcPr>
                <w:p w14:paraId="15D78CE7">
                  <w:pPr>
                    <w:keepNext w:val="0"/>
                    <w:keepLines w:val="0"/>
                    <w:widowControl/>
                    <w:suppressLineNumbers w:val="0"/>
                    <w:jc w:val="center"/>
                  </w:pPr>
                  <w:r>
                    <w:rPr>
                      <w:rFonts w:ascii="宋体" w:hAnsi="宋体" w:eastAsia="宋体" w:cs="宋体"/>
                      <w:kern w:val="0"/>
                      <w:sz w:val="24"/>
                      <w:szCs w:val="24"/>
                      <w:lang w:val="en-US" w:eastAsia="zh-CN" w:bidi="ar"/>
                    </w:rPr>
                    <w:t>否</w:t>
                  </w:r>
                </w:p>
              </w:tc>
              <w:tc>
                <w:tcPr>
                  <w:tcW w:w="750" w:type="dxa"/>
                  <w:tcBorders>
                    <w:top w:val="outset" w:color="auto" w:sz="6" w:space="0"/>
                    <w:left w:val="outset" w:color="auto" w:sz="6" w:space="0"/>
                    <w:bottom w:val="outset" w:color="auto" w:sz="6" w:space="0"/>
                    <w:right w:val="outset" w:color="auto" w:sz="6" w:space="0"/>
                  </w:tcBorders>
                  <w:shd w:val="clear" w:color="auto" w:fill="auto"/>
                  <w:vAlign w:val="center"/>
                </w:tcPr>
                <w:p w14:paraId="6B258543">
                  <w:pPr>
                    <w:keepNext w:val="0"/>
                    <w:keepLines w:val="0"/>
                    <w:widowControl/>
                    <w:suppressLineNumbers w:val="0"/>
                    <w:jc w:val="center"/>
                  </w:pPr>
                  <w:r>
                    <w:rPr>
                      <w:rFonts w:ascii="宋体" w:hAnsi="宋体" w:eastAsia="宋体" w:cs="宋体"/>
                      <w:kern w:val="0"/>
                      <w:sz w:val="24"/>
                      <w:szCs w:val="24"/>
                      <w:lang w:val="en-US" w:eastAsia="zh-CN" w:bidi="ar"/>
                    </w:rPr>
                    <w:t>6000（件）</w:t>
                  </w:r>
                </w:p>
              </w:tc>
              <w:tc>
                <w:tcPr>
                  <w:tcW w:w="1695" w:type="dxa"/>
                  <w:tcBorders>
                    <w:top w:val="outset" w:color="auto" w:sz="6" w:space="0"/>
                    <w:left w:val="outset" w:color="auto" w:sz="6" w:space="0"/>
                    <w:bottom w:val="outset" w:color="auto" w:sz="6" w:space="0"/>
                    <w:right w:val="outset" w:color="auto" w:sz="6" w:space="0"/>
                  </w:tcBorders>
                  <w:shd w:val="clear" w:color="auto" w:fill="auto"/>
                  <w:vAlign w:val="center"/>
                </w:tcPr>
                <w:p w14:paraId="233442C3">
                  <w:pPr>
                    <w:keepNext w:val="0"/>
                    <w:keepLines w:val="0"/>
                    <w:widowControl/>
                    <w:suppressLineNumbers w:val="0"/>
                    <w:jc w:val="center"/>
                  </w:pPr>
                  <w:r>
                    <w:rPr>
                      <w:rFonts w:ascii="宋体" w:hAnsi="宋体" w:eastAsia="宋体" w:cs="宋体"/>
                      <w:kern w:val="0"/>
                      <w:sz w:val="24"/>
                      <w:szCs w:val="24"/>
                      <w:lang w:val="en-US" w:eastAsia="zh-CN" w:bidi="ar"/>
                    </w:rPr>
                    <w:t>900,000.0000</w:t>
                  </w:r>
                </w:p>
              </w:tc>
            </w:tr>
          </w:tbl>
          <w:p w14:paraId="26629CF5">
            <w:pPr>
              <w:jc w:val="center"/>
            </w:pPr>
          </w:p>
        </w:tc>
        <w:tc>
          <w:tcPr>
            <w:tcW w:w="856" w:type="dxa"/>
            <w:tcBorders>
              <w:top w:val="outset" w:color="auto" w:sz="6" w:space="0"/>
              <w:left w:val="outset" w:color="auto" w:sz="6" w:space="0"/>
              <w:bottom w:val="outset" w:color="auto" w:sz="6" w:space="0"/>
              <w:right w:val="outset" w:color="auto" w:sz="6" w:space="0"/>
            </w:tcBorders>
            <w:shd w:val="clear" w:color="auto" w:fill="auto"/>
            <w:vAlign w:val="center"/>
          </w:tcPr>
          <w:p w14:paraId="786A2F8C">
            <w:pPr>
              <w:keepNext w:val="0"/>
              <w:keepLines w:val="0"/>
              <w:widowControl/>
              <w:suppressLineNumbers w:val="0"/>
              <w:jc w:val="center"/>
            </w:pPr>
            <w:r>
              <w:rPr>
                <w:rFonts w:ascii="宋体" w:hAnsi="宋体" w:eastAsia="宋体" w:cs="宋体"/>
                <w:kern w:val="0"/>
                <w:sz w:val="24"/>
                <w:szCs w:val="24"/>
                <w:lang w:val="en-US" w:eastAsia="zh-CN" w:bidi="ar"/>
              </w:rPr>
              <w:t>900000</w:t>
            </w:r>
          </w:p>
        </w:tc>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14:paraId="27CBF3C1">
            <w:pPr>
              <w:keepNext w:val="0"/>
              <w:keepLines w:val="0"/>
              <w:widowControl/>
              <w:suppressLineNumbers w:val="0"/>
              <w:jc w:val="center"/>
            </w:pPr>
            <w:r>
              <w:rPr>
                <w:rFonts w:ascii="宋体" w:hAnsi="宋体" w:eastAsia="宋体" w:cs="宋体"/>
                <w:kern w:val="0"/>
                <w:sz w:val="24"/>
                <w:szCs w:val="24"/>
                <w:lang w:val="en-US" w:eastAsia="zh-CN" w:bidi="ar"/>
              </w:rPr>
              <w:t>18000</w:t>
            </w:r>
          </w:p>
        </w:tc>
      </w:tr>
      <w:tr w14:paraId="1C7778B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28" w:type="dxa"/>
            <w:tcBorders>
              <w:top w:val="outset" w:color="auto" w:sz="6" w:space="0"/>
              <w:left w:val="outset" w:color="auto" w:sz="6" w:space="0"/>
              <w:bottom w:val="outset" w:color="auto" w:sz="6" w:space="0"/>
              <w:right w:val="outset" w:color="auto" w:sz="6" w:space="0"/>
            </w:tcBorders>
            <w:shd w:val="clear" w:color="auto" w:fill="auto"/>
            <w:vAlign w:val="center"/>
          </w:tcPr>
          <w:p w14:paraId="204AE722">
            <w:pPr>
              <w:keepNext w:val="0"/>
              <w:keepLines w:val="0"/>
              <w:widowControl/>
              <w:suppressLineNumbers w:val="0"/>
              <w:jc w:val="center"/>
            </w:pPr>
            <w:r>
              <w:rPr>
                <w:rFonts w:ascii="宋体" w:hAnsi="宋体" w:eastAsia="宋体" w:cs="宋体"/>
                <w:kern w:val="0"/>
                <w:sz w:val="24"/>
                <w:szCs w:val="24"/>
                <w:lang w:val="en-US" w:eastAsia="zh-CN" w:bidi="ar"/>
              </w:rPr>
              <w:t>4</w:t>
            </w:r>
          </w:p>
        </w:tc>
        <w:tc>
          <w:tcPr>
            <w:tcW w:w="4977" w:type="dxa"/>
            <w:gridSpan w:val="5"/>
            <w:tcBorders>
              <w:top w:val="outset" w:color="auto" w:sz="6" w:space="0"/>
              <w:left w:val="outset" w:color="auto" w:sz="6" w:space="0"/>
              <w:bottom w:val="outset" w:color="auto" w:sz="6" w:space="0"/>
              <w:right w:val="outset" w:color="auto" w:sz="6" w:space="0"/>
            </w:tcBorders>
            <w:shd w:val="clear" w:color="auto" w:fill="auto"/>
            <w:vAlign w:val="center"/>
          </w:tcPr>
          <w:tbl>
            <w:tblPr>
              <w:tblStyle w:val="6"/>
              <w:tblW w:w="4960" w:type="dxa"/>
              <w:jc w:val="center"/>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687"/>
              <w:gridCol w:w="1213"/>
              <w:gridCol w:w="615"/>
              <w:gridCol w:w="750"/>
              <w:gridCol w:w="1695"/>
            </w:tblGrid>
            <w:tr w14:paraId="15B03FD7">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87" w:type="dxa"/>
                  <w:tcBorders>
                    <w:top w:val="outset" w:color="auto" w:sz="6" w:space="0"/>
                    <w:left w:val="outset" w:color="auto" w:sz="6" w:space="0"/>
                    <w:bottom w:val="outset" w:color="auto" w:sz="6" w:space="0"/>
                    <w:right w:val="outset" w:color="auto" w:sz="6" w:space="0"/>
                  </w:tcBorders>
                  <w:shd w:val="clear" w:color="auto" w:fill="auto"/>
                  <w:vAlign w:val="center"/>
                </w:tcPr>
                <w:p w14:paraId="31328CFB">
                  <w:pPr>
                    <w:keepNext w:val="0"/>
                    <w:keepLines w:val="0"/>
                    <w:widowControl/>
                    <w:suppressLineNumbers w:val="0"/>
                    <w:jc w:val="center"/>
                  </w:pPr>
                  <w:r>
                    <w:rPr>
                      <w:rFonts w:ascii="宋体" w:hAnsi="宋体" w:eastAsia="宋体" w:cs="宋体"/>
                      <w:kern w:val="0"/>
                      <w:sz w:val="24"/>
                      <w:szCs w:val="24"/>
                      <w:lang w:val="en-US" w:eastAsia="zh-CN" w:bidi="ar"/>
                    </w:rPr>
                    <w:t>4-1</w:t>
                  </w:r>
                </w:p>
              </w:tc>
              <w:tc>
                <w:tcPr>
                  <w:tcW w:w="1213" w:type="dxa"/>
                  <w:tcBorders>
                    <w:top w:val="outset" w:color="auto" w:sz="6" w:space="0"/>
                    <w:left w:val="outset" w:color="auto" w:sz="6" w:space="0"/>
                    <w:bottom w:val="outset" w:color="auto" w:sz="6" w:space="0"/>
                    <w:right w:val="outset" w:color="auto" w:sz="6" w:space="0"/>
                  </w:tcBorders>
                  <w:shd w:val="clear" w:color="auto" w:fill="auto"/>
                  <w:vAlign w:val="center"/>
                </w:tcPr>
                <w:p w14:paraId="7269DEF1">
                  <w:pPr>
                    <w:keepNext w:val="0"/>
                    <w:keepLines w:val="0"/>
                    <w:widowControl/>
                    <w:suppressLineNumbers w:val="0"/>
                    <w:jc w:val="center"/>
                  </w:pPr>
                  <w:r>
                    <w:rPr>
                      <w:rFonts w:ascii="宋体" w:hAnsi="宋体" w:eastAsia="宋体" w:cs="宋体"/>
                      <w:kern w:val="0"/>
                      <w:sz w:val="24"/>
                      <w:szCs w:val="24"/>
                      <w:lang w:val="en-US" w:eastAsia="zh-CN" w:bidi="ar"/>
                    </w:rPr>
                    <w:t>取暖器</w:t>
                  </w:r>
                </w:p>
              </w:tc>
              <w:tc>
                <w:tcPr>
                  <w:tcW w:w="615" w:type="dxa"/>
                  <w:tcBorders>
                    <w:top w:val="outset" w:color="auto" w:sz="6" w:space="0"/>
                    <w:left w:val="outset" w:color="auto" w:sz="6" w:space="0"/>
                    <w:bottom w:val="outset" w:color="auto" w:sz="6" w:space="0"/>
                    <w:right w:val="outset" w:color="auto" w:sz="6" w:space="0"/>
                  </w:tcBorders>
                  <w:shd w:val="clear" w:color="auto" w:fill="auto"/>
                  <w:vAlign w:val="center"/>
                </w:tcPr>
                <w:p w14:paraId="07364208">
                  <w:pPr>
                    <w:keepNext w:val="0"/>
                    <w:keepLines w:val="0"/>
                    <w:widowControl/>
                    <w:suppressLineNumbers w:val="0"/>
                    <w:jc w:val="center"/>
                  </w:pPr>
                  <w:r>
                    <w:rPr>
                      <w:rFonts w:ascii="宋体" w:hAnsi="宋体" w:eastAsia="宋体" w:cs="宋体"/>
                      <w:kern w:val="0"/>
                      <w:sz w:val="24"/>
                      <w:szCs w:val="24"/>
                      <w:lang w:val="en-US" w:eastAsia="zh-CN" w:bidi="ar"/>
                    </w:rPr>
                    <w:t>否</w:t>
                  </w:r>
                </w:p>
              </w:tc>
              <w:tc>
                <w:tcPr>
                  <w:tcW w:w="750" w:type="dxa"/>
                  <w:tcBorders>
                    <w:top w:val="outset" w:color="auto" w:sz="6" w:space="0"/>
                    <w:left w:val="outset" w:color="auto" w:sz="6" w:space="0"/>
                    <w:bottom w:val="outset" w:color="auto" w:sz="6" w:space="0"/>
                    <w:right w:val="outset" w:color="auto" w:sz="6" w:space="0"/>
                  </w:tcBorders>
                  <w:shd w:val="clear" w:color="auto" w:fill="auto"/>
                  <w:vAlign w:val="center"/>
                </w:tcPr>
                <w:p w14:paraId="7489AE54">
                  <w:pPr>
                    <w:keepNext w:val="0"/>
                    <w:keepLines w:val="0"/>
                    <w:widowControl/>
                    <w:suppressLineNumbers w:val="0"/>
                    <w:jc w:val="center"/>
                  </w:pPr>
                  <w:r>
                    <w:rPr>
                      <w:rFonts w:ascii="宋体" w:hAnsi="宋体" w:eastAsia="宋体" w:cs="宋体"/>
                      <w:kern w:val="0"/>
                      <w:sz w:val="24"/>
                      <w:szCs w:val="24"/>
                      <w:lang w:val="en-US" w:eastAsia="zh-CN" w:bidi="ar"/>
                    </w:rPr>
                    <w:t>4800（台）</w:t>
                  </w:r>
                </w:p>
              </w:tc>
              <w:tc>
                <w:tcPr>
                  <w:tcW w:w="1695" w:type="dxa"/>
                  <w:tcBorders>
                    <w:top w:val="outset" w:color="auto" w:sz="6" w:space="0"/>
                    <w:left w:val="outset" w:color="auto" w:sz="6" w:space="0"/>
                    <w:bottom w:val="outset" w:color="auto" w:sz="6" w:space="0"/>
                    <w:right w:val="outset" w:color="auto" w:sz="6" w:space="0"/>
                  </w:tcBorders>
                  <w:shd w:val="clear" w:color="auto" w:fill="auto"/>
                  <w:vAlign w:val="center"/>
                </w:tcPr>
                <w:p w14:paraId="7723EB06">
                  <w:pPr>
                    <w:keepNext w:val="0"/>
                    <w:keepLines w:val="0"/>
                    <w:widowControl/>
                    <w:suppressLineNumbers w:val="0"/>
                    <w:jc w:val="center"/>
                  </w:pPr>
                  <w:r>
                    <w:rPr>
                      <w:rFonts w:ascii="宋体" w:hAnsi="宋体" w:eastAsia="宋体" w:cs="宋体"/>
                      <w:kern w:val="0"/>
                      <w:sz w:val="24"/>
                      <w:szCs w:val="24"/>
                      <w:lang w:val="en-US" w:eastAsia="zh-CN" w:bidi="ar"/>
                    </w:rPr>
                    <w:t>432,000.0000</w:t>
                  </w:r>
                </w:p>
              </w:tc>
            </w:tr>
          </w:tbl>
          <w:p w14:paraId="2615B640">
            <w:pPr>
              <w:jc w:val="center"/>
            </w:pPr>
          </w:p>
        </w:tc>
        <w:tc>
          <w:tcPr>
            <w:tcW w:w="856" w:type="dxa"/>
            <w:tcBorders>
              <w:top w:val="outset" w:color="auto" w:sz="6" w:space="0"/>
              <w:left w:val="outset" w:color="auto" w:sz="6" w:space="0"/>
              <w:bottom w:val="outset" w:color="auto" w:sz="6" w:space="0"/>
              <w:right w:val="outset" w:color="auto" w:sz="6" w:space="0"/>
            </w:tcBorders>
            <w:shd w:val="clear" w:color="auto" w:fill="auto"/>
            <w:vAlign w:val="center"/>
          </w:tcPr>
          <w:p w14:paraId="39D0D3D5">
            <w:pPr>
              <w:keepNext w:val="0"/>
              <w:keepLines w:val="0"/>
              <w:widowControl/>
              <w:suppressLineNumbers w:val="0"/>
              <w:jc w:val="center"/>
            </w:pPr>
            <w:r>
              <w:rPr>
                <w:rFonts w:ascii="宋体" w:hAnsi="宋体" w:eastAsia="宋体" w:cs="宋体"/>
                <w:kern w:val="0"/>
                <w:sz w:val="24"/>
                <w:szCs w:val="24"/>
                <w:lang w:val="en-US" w:eastAsia="zh-CN" w:bidi="ar"/>
              </w:rPr>
              <w:t>432000</w:t>
            </w:r>
          </w:p>
        </w:tc>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14:paraId="2A5B9DD1">
            <w:pPr>
              <w:keepNext w:val="0"/>
              <w:keepLines w:val="0"/>
              <w:widowControl/>
              <w:suppressLineNumbers w:val="0"/>
              <w:jc w:val="center"/>
            </w:pPr>
            <w:r>
              <w:rPr>
                <w:rFonts w:ascii="宋体" w:hAnsi="宋体" w:eastAsia="宋体" w:cs="宋体"/>
                <w:kern w:val="0"/>
                <w:sz w:val="24"/>
                <w:szCs w:val="24"/>
                <w:lang w:val="en-US" w:eastAsia="zh-CN" w:bidi="ar"/>
              </w:rPr>
              <w:t>8640</w:t>
            </w:r>
          </w:p>
        </w:tc>
      </w:tr>
      <w:tr w14:paraId="6922F93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28" w:type="dxa"/>
            <w:tcBorders>
              <w:top w:val="outset" w:color="auto" w:sz="6" w:space="0"/>
              <w:left w:val="outset" w:color="auto" w:sz="6" w:space="0"/>
              <w:bottom w:val="outset" w:color="auto" w:sz="6" w:space="0"/>
              <w:right w:val="outset" w:color="auto" w:sz="6" w:space="0"/>
            </w:tcBorders>
            <w:shd w:val="clear" w:color="auto" w:fill="auto"/>
            <w:vAlign w:val="center"/>
          </w:tcPr>
          <w:p w14:paraId="015CCA38">
            <w:pPr>
              <w:keepNext w:val="0"/>
              <w:keepLines w:val="0"/>
              <w:widowControl/>
              <w:suppressLineNumbers w:val="0"/>
              <w:jc w:val="center"/>
            </w:pPr>
            <w:r>
              <w:rPr>
                <w:rFonts w:ascii="宋体" w:hAnsi="宋体" w:eastAsia="宋体" w:cs="宋体"/>
                <w:kern w:val="0"/>
                <w:sz w:val="24"/>
                <w:szCs w:val="24"/>
                <w:lang w:val="en-US" w:eastAsia="zh-CN" w:bidi="ar"/>
              </w:rPr>
              <w:t>5</w:t>
            </w:r>
          </w:p>
        </w:tc>
        <w:tc>
          <w:tcPr>
            <w:tcW w:w="4977" w:type="dxa"/>
            <w:gridSpan w:val="5"/>
            <w:tcBorders>
              <w:top w:val="outset" w:color="auto" w:sz="6" w:space="0"/>
              <w:left w:val="outset" w:color="auto" w:sz="6" w:space="0"/>
              <w:bottom w:val="outset" w:color="auto" w:sz="6" w:space="0"/>
              <w:right w:val="outset" w:color="auto" w:sz="6" w:space="0"/>
            </w:tcBorders>
            <w:shd w:val="clear" w:color="auto" w:fill="auto"/>
            <w:vAlign w:val="center"/>
          </w:tcPr>
          <w:tbl>
            <w:tblPr>
              <w:tblStyle w:val="6"/>
              <w:tblW w:w="4960" w:type="dxa"/>
              <w:jc w:val="center"/>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687"/>
              <w:gridCol w:w="1213"/>
              <w:gridCol w:w="615"/>
              <w:gridCol w:w="750"/>
              <w:gridCol w:w="1695"/>
            </w:tblGrid>
            <w:tr w14:paraId="3E5FCC65">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87" w:type="dxa"/>
                  <w:tcBorders>
                    <w:top w:val="outset" w:color="auto" w:sz="6" w:space="0"/>
                    <w:left w:val="outset" w:color="auto" w:sz="6" w:space="0"/>
                    <w:bottom w:val="outset" w:color="auto" w:sz="6" w:space="0"/>
                    <w:right w:val="outset" w:color="auto" w:sz="6" w:space="0"/>
                  </w:tcBorders>
                  <w:shd w:val="clear" w:color="auto" w:fill="auto"/>
                  <w:vAlign w:val="center"/>
                </w:tcPr>
                <w:p w14:paraId="5BA855CD">
                  <w:pPr>
                    <w:keepNext w:val="0"/>
                    <w:keepLines w:val="0"/>
                    <w:widowControl/>
                    <w:suppressLineNumbers w:val="0"/>
                    <w:jc w:val="center"/>
                  </w:pPr>
                  <w:r>
                    <w:rPr>
                      <w:rFonts w:ascii="宋体" w:hAnsi="宋体" w:eastAsia="宋体" w:cs="宋体"/>
                      <w:kern w:val="0"/>
                      <w:sz w:val="24"/>
                      <w:szCs w:val="24"/>
                      <w:lang w:val="en-US" w:eastAsia="zh-CN" w:bidi="ar"/>
                    </w:rPr>
                    <w:t>5-1</w:t>
                  </w:r>
                </w:p>
              </w:tc>
              <w:tc>
                <w:tcPr>
                  <w:tcW w:w="1213" w:type="dxa"/>
                  <w:tcBorders>
                    <w:top w:val="outset" w:color="auto" w:sz="6" w:space="0"/>
                    <w:left w:val="outset" w:color="auto" w:sz="6" w:space="0"/>
                    <w:bottom w:val="outset" w:color="auto" w:sz="6" w:space="0"/>
                    <w:right w:val="outset" w:color="auto" w:sz="6" w:space="0"/>
                  </w:tcBorders>
                  <w:shd w:val="clear" w:color="auto" w:fill="auto"/>
                  <w:vAlign w:val="center"/>
                </w:tcPr>
                <w:p w14:paraId="762E99E0">
                  <w:pPr>
                    <w:keepNext w:val="0"/>
                    <w:keepLines w:val="0"/>
                    <w:widowControl/>
                    <w:suppressLineNumbers w:val="0"/>
                    <w:jc w:val="center"/>
                  </w:pPr>
                  <w:r>
                    <w:rPr>
                      <w:rFonts w:ascii="宋体" w:hAnsi="宋体" w:eastAsia="宋体" w:cs="宋体"/>
                      <w:kern w:val="0"/>
                      <w:sz w:val="24"/>
                      <w:szCs w:val="24"/>
                      <w:lang w:val="en-US" w:eastAsia="zh-CN" w:bidi="ar"/>
                    </w:rPr>
                    <w:t>折叠床</w:t>
                  </w:r>
                </w:p>
              </w:tc>
              <w:tc>
                <w:tcPr>
                  <w:tcW w:w="615" w:type="dxa"/>
                  <w:tcBorders>
                    <w:top w:val="outset" w:color="auto" w:sz="6" w:space="0"/>
                    <w:left w:val="outset" w:color="auto" w:sz="6" w:space="0"/>
                    <w:bottom w:val="outset" w:color="auto" w:sz="6" w:space="0"/>
                    <w:right w:val="outset" w:color="auto" w:sz="6" w:space="0"/>
                  </w:tcBorders>
                  <w:shd w:val="clear" w:color="auto" w:fill="auto"/>
                  <w:vAlign w:val="center"/>
                </w:tcPr>
                <w:p w14:paraId="7670E042">
                  <w:pPr>
                    <w:keepNext w:val="0"/>
                    <w:keepLines w:val="0"/>
                    <w:widowControl/>
                    <w:suppressLineNumbers w:val="0"/>
                    <w:jc w:val="center"/>
                  </w:pPr>
                  <w:r>
                    <w:rPr>
                      <w:rFonts w:ascii="宋体" w:hAnsi="宋体" w:eastAsia="宋体" w:cs="宋体"/>
                      <w:kern w:val="0"/>
                      <w:sz w:val="24"/>
                      <w:szCs w:val="24"/>
                      <w:lang w:val="en-US" w:eastAsia="zh-CN" w:bidi="ar"/>
                    </w:rPr>
                    <w:t>否</w:t>
                  </w:r>
                </w:p>
              </w:tc>
              <w:tc>
                <w:tcPr>
                  <w:tcW w:w="750" w:type="dxa"/>
                  <w:tcBorders>
                    <w:top w:val="outset" w:color="auto" w:sz="6" w:space="0"/>
                    <w:left w:val="outset" w:color="auto" w:sz="6" w:space="0"/>
                    <w:bottom w:val="outset" w:color="auto" w:sz="6" w:space="0"/>
                    <w:right w:val="outset" w:color="auto" w:sz="6" w:space="0"/>
                  </w:tcBorders>
                  <w:shd w:val="clear" w:color="auto" w:fill="auto"/>
                  <w:vAlign w:val="center"/>
                </w:tcPr>
                <w:p w14:paraId="106AD266">
                  <w:pPr>
                    <w:keepNext w:val="0"/>
                    <w:keepLines w:val="0"/>
                    <w:widowControl/>
                    <w:suppressLineNumbers w:val="0"/>
                    <w:jc w:val="center"/>
                  </w:pPr>
                  <w:r>
                    <w:rPr>
                      <w:rFonts w:ascii="宋体" w:hAnsi="宋体" w:eastAsia="宋体" w:cs="宋体"/>
                      <w:kern w:val="0"/>
                      <w:sz w:val="24"/>
                      <w:szCs w:val="24"/>
                      <w:lang w:val="en-US" w:eastAsia="zh-CN" w:bidi="ar"/>
                    </w:rPr>
                    <w:t>3300（床）</w:t>
                  </w:r>
                </w:p>
              </w:tc>
              <w:tc>
                <w:tcPr>
                  <w:tcW w:w="1695" w:type="dxa"/>
                  <w:tcBorders>
                    <w:top w:val="outset" w:color="auto" w:sz="6" w:space="0"/>
                    <w:left w:val="outset" w:color="auto" w:sz="6" w:space="0"/>
                    <w:bottom w:val="outset" w:color="auto" w:sz="6" w:space="0"/>
                    <w:right w:val="outset" w:color="auto" w:sz="6" w:space="0"/>
                  </w:tcBorders>
                  <w:shd w:val="clear" w:color="auto" w:fill="auto"/>
                  <w:vAlign w:val="center"/>
                </w:tcPr>
                <w:p w14:paraId="3785073E">
                  <w:pPr>
                    <w:keepNext w:val="0"/>
                    <w:keepLines w:val="0"/>
                    <w:widowControl/>
                    <w:suppressLineNumbers w:val="0"/>
                    <w:jc w:val="center"/>
                  </w:pPr>
                  <w:r>
                    <w:rPr>
                      <w:rFonts w:ascii="宋体" w:hAnsi="宋体" w:eastAsia="宋体" w:cs="宋体"/>
                      <w:kern w:val="0"/>
                      <w:sz w:val="24"/>
                      <w:szCs w:val="24"/>
                      <w:lang w:val="en-US" w:eastAsia="zh-CN" w:bidi="ar"/>
                    </w:rPr>
                    <w:t>660,000.0000</w:t>
                  </w:r>
                </w:p>
              </w:tc>
            </w:tr>
          </w:tbl>
          <w:p w14:paraId="02AFD405">
            <w:pPr>
              <w:jc w:val="center"/>
            </w:pPr>
          </w:p>
        </w:tc>
        <w:tc>
          <w:tcPr>
            <w:tcW w:w="856" w:type="dxa"/>
            <w:tcBorders>
              <w:top w:val="outset" w:color="auto" w:sz="6" w:space="0"/>
              <w:left w:val="outset" w:color="auto" w:sz="6" w:space="0"/>
              <w:bottom w:val="outset" w:color="auto" w:sz="6" w:space="0"/>
              <w:right w:val="outset" w:color="auto" w:sz="6" w:space="0"/>
            </w:tcBorders>
            <w:shd w:val="clear" w:color="auto" w:fill="auto"/>
            <w:vAlign w:val="center"/>
          </w:tcPr>
          <w:p w14:paraId="66BA384E">
            <w:pPr>
              <w:keepNext w:val="0"/>
              <w:keepLines w:val="0"/>
              <w:widowControl/>
              <w:suppressLineNumbers w:val="0"/>
              <w:jc w:val="center"/>
            </w:pPr>
            <w:r>
              <w:rPr>
                <w:rFonts w:ascii="宋体" w:hAnsi="宋体" w:eastAsia="宋体" w:cs="宋体"/>
                <w:kern w:val="0"/>
                <w:sz w:val="24"/>
                <w:szCs w:val="24"/>
                <w:lang w:val="en-US" w:eastAsia="zh-CN" w:bidi="ar"/>
              </w:rPr>
              <w:t>660000</w:t>
            </w:r>
          </w:p>
        </w:tc>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14:paraId="24E320F3">
            <w:pPr>
              <w:keepNext w:val="0"/>
              <w:keepLines w:val="0"/>
              <w:widowControl/>
              <w:suppressLineNumbers w:val="0"/>
              <w:jc w:val="center"/>
            </w:pPr>
            <w:r>
              <w:rPr>
                <w:rFonts w:ascii="宋体" w:hAnsi="宋体" w:eastAsia="宋体" w:cs="宋体"/>
                <w:kern w:val="0"/>
                <w:sz w:val="24"/>
                <w:szCs w:val="24"/>
                <w:lang w:val="en-US" w:eastAsia="zh-CN" w:bidi="ar"/>
              </w:rPr>
              <w:t>13200</w:t>
            </w:r>
          </w:p>
        </w:tc>
      </w:tr>
      <w:tr w14:paraId="22BBBDD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28" w:type="dxa"/>
            <w:tcBorders>
              <w:top w:val="outset" w:color="auto" w:sz="6" w:space="0"/>
              <w:left w:val="outset" w:color="auto" w:sz="6" w:space="0"/>
              <w:bottom w:val="outset" w:color="auto" w:sz="6" w:space="0"/>
              <w:right w:val="outset" w:color="auto" w:sz="6" w:space="0"/>
            </w:tcBorders>
            <w:shd w:val="clear" w:color="auto" w:fill="auto"/>
            <w:vAlign w:val="center"/>
          </w:tcPr>
          <w:p w14:paraId="521053AC">
            <w:pPr>
              <w:keepNext w:val="0"/>
              <w:keepLines w:val="0"/>
              <w:widowControl/>
              <w:suppressLineNumbers w:val="0"/>
              <w:jc w:val="center"/>
            </w:pPr>
            <w:r>
              <w:rPr>
                <w:rFonts w:ascii="宋体" w:hAnsi="宋体" w:eastAsia="宋体" w:cs="宋体"/>
                <w:kern w:val="0"/>
                <w:sz w:val="24"/>
                <w:szCs w:val="24"/>
                <w:lang w:val="en-US" w:eastAsia="zh-CN" w:bidi="ar"/>
              </w:rPr>
              <w:t>6</w:t>
            </w:r>
          </w:p>
        </w:tc>
        <w:tc>
          <w:tcPr>
            <w:tcW w:w="4977" w:type="dxa"/>
            <w:gridSpan w:val="5"/>
            <w:tcBorders>
              <w:top w:val="outset" w:color="auto" w:sz="6" w:space="0"/>
              <w:left w:val="outset" w:color="auto" w:sz="6" w:space="0"/>
              <w:bottom w:val="outset" w:color="auto" w:sz="6" w:space="0"/>
              <w:right w:val="outset" w:color="auto" w:sz="6" w:space="0"/>
            </w:tcBorders>
            <w:shd w:val="clear" w:color="auto" w:fill="auto"/>
            <w:vAlign w:val="center"/>
          </w:tcPr>
          <w:tbl>
            <w:tblPr>
              <w:tblStyle w:val="6"/>
              <w:tblW w:w="4960" w:type="dxa"/>
              <w:jc w:val="center"/>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687"/>
              <w:gridCol w:w="1213"/>
              <w:gridCol w:w="615"/>
              <w:gridCol w:w="750"/>
              <w:gridCol w:w="1695"/>
            </w:tblGrid>
            <w:tr w14:paraId="0CECEBAC">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87" w:type="dxa"/>
                  <w:tcBorders>
                    <w:top w:val="outset" w:color="auto" w:sz="6" w:space="0"/>
                    <w:left w:val="outset" w:color="auto" w:sz="6" w:space="0"/>
                    <w:bottom w:val="outset" w:color="auto" w:sz="6" w:space="0"/>
                    <w:right w:val="outset" w:color="auto" w:sz="6" w:space="0"/>
                  </w:tcBorders>
                  <w:shd w:val="clear" w:color="auto" w:fill="auto"/>
                  <w:vAlign w:val="center"/>
                </w:tcPr>
                <w:p w14:paraId="67ED0F99">
                  <w:pPr>
                    <w:keepNext w:val="0"/>
                    <w:keepLines w:val="0"/>
                    <w:widowControl/>
                    <w:suppressLineNumbers w:val="0"/>
                    <w:jc w:val="center"/>
                  </w:pPr>
                  <w:r>
                    <w:rPr>
                      <w:rFonts w:ascii="宋体" w:hAnsi="宋体" w:eastAsia="宋体" w:cs="宋体"/>
                      <w:kern w:val="0"/>
                      <w:sz w:val="24"/>
                      <w:szCs w:val="24"/>
                      <w:lang w:val="en-US" w:eastAsia="zh-CN" w:bidi="ar"/>
                    </w:rPr>
                    <w:t>6-1</w:t>
                  </w:r>
                </w:p>
              </w:tc>
              <w:tc>
                <w:tcPr>
                  <w:tcW w:w="1213" w:type="dxa"/>
                  <w:tcBorders>
                    <w:top w:val="outset" w:color="auto" w:sz="6" w:space="0"/>
                    <w:left w:val="outset" w:color="auto" w:sz="6" w:space="0"/>
                    <w:bottom w:val="outset" w:color="auto" w:sz="6" w:space="0"/>
                    <w:right w:val="outset" w:color="auto" w:sz="6" w:space="0"/>
                  </w:tcBorders>
                  <w:shd w:val="clear" w:color="auto" w:fill="auto"/>
                  <w:vAlign w:val="center"/>
                </w:tcPr>
                <w:p w14:paraId="1B4728D7">
                  <w:pPr>
                    <w:keepNext w:val="0"/>
                    <w:keepLines w:val="0"/>
                    <w:widowControl/>
                    <w:suppressLineNumbers w:val="0"/>
                    <w:jc w:val="center"/>
                  </w:pPr>
                  <w:r>
                    <w:rPr>
                      <w:rFonts w:ascii="宋体" w:hAnsi="宋体" w:eastAsia="宋体" w:cs="宋体"/>
                      <w:kern w:val="0"/>
                      <w:sz w:val="24"/>
                      <w:szCs w:val="24"/>
                      <w:lang w:val="en-US" w:eastAsia="zh-CN" w:bidi="ar"/>
                    </w:rPr>
                    <w:t>雨衣雨鞋</w:t>
                  </w:r>
                </w:p>
              </w:tc>
              <w:tc>
                <w:tcPr>
                  <w:tcW w:w="615" w:type="dxa"/>
                  <w:tcBorders>
                    <w:top w:val="outset" w:color="auto" w:sz="6" w:space="0"/>
                    <w:left w:val="outset" w:color="auto" w:sz="6" w:space="0"/>
                    <w:bottom w:val="outset" w:color="auto" w:sz="6" w:space="0"/>
                    <w:right w:val="outset" w:color="auto" w:sz="6" w:space="0"/>
                  </w:tcBorders>
                  <w:shd w:val="clear" w:color="auto" w:fill="auto"/>
                  <w:vAlign w:val="center"/>
                </w:tcPr>
                <w:p w14:paraId="691846CE">
                  <w:pPr>
                    <w:keepNext w:val="0"/>
                    <w:keepLines w:val="0"/>
                    <w:widowControl/>
                    <w:suppressLineNumbers w:val="0"/>
                    <w:jc w:val="center"/>
                  </w:pPr>
                  <w:r>
                    <w:rPr>
                      <w:rFonts w:ascii="宋体" w:hAnsi="宋体" w:eastAsia="宋体" w:cs="宋体"/>
                      <w:kern w:val="0"/>
                      <w:sz w:val="24"/>
                      <w:szCs w:val="24"/>
                      <w:lang w:val="en-US" w:eastAsia="zh-CN" w:bidi="ar"/>
                    </w:rPr>
                    <w:t>否</w:t>
                  </w:r>
                </w:p>
              </w:tc>
              <w:tc>
                <w:tcPr>
                  <w:tcW w:w="750" w:type="dxa"/>
                  <w:tcBorders>
                    <w:top w:val="outset" w:color="auto" w:sz="6" w:space="0"/>
                    <w:left w:val="outset" w:color="auto" w:sz="6" w:space="0"/>
                    <w:bottom w:val="outset" w:color="auto" w:sz="6" w:space="0"/>
                    <w:right w:val="outset" w:color="auto" w:sz="6" w:space="0"/>
                  </w:tcBorders>
                  <w:shd w:val="clear" w:color="auto" w:fill="auto"/>
                  <w:vAlign w:val="center"/>
                </w:tcPr>
                <w:p w14:paraId="001AE626">
                  <w:pPr>
                    <w:keepNext w:val="0"/>
                    <w:keepLines w:val="0"/>
                    <w:widowControl/>
                    <w:suppressLineNumbers w:val="0"/>
                    <w:jc w:val="center"/>
                  </w:pPr>
                  <w:r>
                    <w:rPr>
                      <w:rFonts w:ascii="宋体" w:hAnsi="宋体" w:eastAsia="宋体" w:cs="宋体"/>
                      <w:kern w:val="0"/>
                      <w:sz w:val="24"/>
                      <w:szCs w:val="24"/>
                      <w:lang w:val="en-US" w:eastAsia="zh-CN" w:bidi="ar"/>
                    </w:rPr>
                    <w:t>500（套）</w:t>
                  </w:r>
                </w:p>
              </w:tc>
              <w:tc>
                <w:tcPr>
                  <w:tcW w:w="1695" w:type="dxa"/>
                  <w:tcBorders>
                    <w:top w:val="outset" w:color="auto" w:sz="6" w:space="0"/>
                    <w:left w:val="outset" w:color="auto" w:sz="6" w:space="0"/>
                    <w:bottom w:val="outset" w:color="auto" w:sz="6" w:space="0"/>
                    <w:right w:val="outset" w:color="auto" w:sz="6" w:space="0"/>
                  </w:tcBorders>
                  <w:shd w:val="clear" w:color="auto" w:fill="auto"/>
                  <w:vAlign w:val="center"/>
                </w:tcPr>
                <w:p w14:paraId="331D8F21">
                  <w:pPr>
                    <w:keepNext w:val="0"/>
                    <w:keepLines w:val="0"/>
                    <w:widowControl/>
                    <w:suppressLineNumbers w:val="0"/>
                    <w:jc w:val="center"/>
                  </w:pPr>
                  <w:r>
                    <w:rPr>
                      <w:rFonts w:ascii="宋体" w:hAnsi="宋体" w:eastAsia="宋体" w:cs="宋体"/>
                      <w:kern w:val="0"/>
                      <w:sz w:val="24"/>
                      <w:szCs w:val="24"/>
                      <w:lang w:val="en-US" w:eastAsia="zh-CN" w:bidi="ar"/>
                    </w:rPr>
                    <w:t>100,000.0000</w:t>
                  </w:r>
                </w:p>
              </w:tc>
            </w:tr>
          </w:tbl>
          <w:p w14:paraId="74D16772">
            <w:pPr>
              <w:jc w:val="center"/>
            </w:pPr>
          </w:p>
        </w:tc>
        <w:tc>
          <w:tcPr>
            <w:tcW w:w="856" w:type="dxa"/>
            <w:tcBorders>
              <w:top w:val="outset" w:color="auto" w:sz="6" w:space="0"/>
              <w:left w:val="outset" w:color="auto" w:sz="6" w:space="0"/>
              <w:bottom w:val="outset" w:color="auto" w:sz="6" w:space="0"/>
              <w:right w:val="outset" w:color="auto" w:sz="6" w:space="0"/>
            </w:tcBorders>
            <w:shd w:val="clear" w:color="auto" w:fill="auto"/>
            <w:vAlign w:val="center"/>
          </w:tcPr>
          <w:p w14:paraId="3E22DA9F">
            <w:pPr>
              <w:keepNext w:val="0"/>
              <w:keepLines w:val="0"/>
              <w:widowControl/>
              <w:suppressLineNumbers w:val="0"/>
              <w:jc w:val="center"/>
            </w:pPr>
            <w:r>
              <w:rPr>
                <w:rFonts w:ascii="宋体" w:hAnsi="宋体" w:eastAsia="宋体" w:cs="宋体"/>
                <w:kern w:val="0"/>
                <w:sz w:val="24"/>
                <w:szCs w:val="24"/>
                <w:lang w:val="en-US" w:eastAsia="zh-CN" w:bidi="ar"/>
              </w:rPr>
              <w:t>100000</w:t>
            </w:r>
          </w:p>
        </w:tc>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14:paraId="3D1CA1AB">
            <w:pPr>
              <w:keepNext w:val="0"/>
              <w:keepLines w:val="0"/>
              <w:widowControl/>
              <w:suppressLineNumbers w:val="0"/>
              <w:jc w:val="center"/>
            </w:pPr>
            <w:r>
              <w:rPr>
                <w:rFonts w:ascii="宋体" w:hAnsi="宋体" w:eastAsia="宋体" w:cs="宋体"/>
                <w:kern w:val="0"/>
                <w:sz w:val="24"/>
                <w:szCs w:val="24"/>
                <w:lang w:val="en-US" w:eastAsia="zh-CN" w:bidi="ar"/>
              </w:rPr>
              <w:t>2000</w:t>
            </w:r>
          </w:p>
        </w:tc>
      </w:tr>
      <w:tr w14:paraId="715CB64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28" w:type="dxa"/>
            <w:tcBorders>
              <w:top w:val="outset" w:color="auto" w:sz="6" w:space="0"/>
              <w:left w:val="outset" w:color="auto" w:sz="6" w:space="0"/>
              <w:bottom w:val="outset" w:color="auto" w:sz="6" w:space="0"/>
              <w:right w:val="outset" w:color="auto" w:sz="6" w:space="0"/>
            </w:tcBorders>
            <w:shd w:val="clear" w:color="auto" w:fill="auto"/>
            <w:vAlign w:val="center"/>
          </w:tcPr>
          <w:p w14:paraId="26CCEA83">
            <w:pPr>
              <w:keepNext w:val="0"/>
              <w:keepLines w:val="0"/>
              <w:widowControl/>
              <w:suppressLineNumbers w:val="0"/>
              <w:jc w:val="center"/>
            </w:pPr>
            <w:r>
              <w:rPr>
                <w:rFonts w:ascii="宋体" w:hAnsi="宋体" w:eastAsia="宋体" w:cs="宋体"/>
                <w:kern w:val="0"/>
                <w:sz w:val="24"/>
                <w:szCs w:val="24"/>
                <w:lang w:val="en-US" w:eastAsia="zh-CN" w:bidi="ar"/>
              </w:rPr>
              <w:t>7</w:t>
            </w:r>
          </w:p>
        </w:tc>
        <w:tc>
          <w:tcPr>
            <w:tcW w:w="4977" w:type="dxa"/>
            <w:gridSpan w:val="5"/>
            <w:tcBorders>
              <w:top w:val="outset" w:color="auto" w:sz="6" w:space="0"/>
              <w:left w:val="outset" w:color="auto" w:sz="6" w:space="0"/>
              <w:bottom w:val="outset" w:color="auto" w:sz="6" w:space="0"/>
              <w:right w:val="outset" w:color="auto" w:sz="6" w:space="0"/>
            </w:tcBorders>
            <w:shd w:val="clear" w:color="auto" w:fill="auto"/>
            <w:vAlign w:val="center"/>
          </w:tcPr>
          <w:tbl>
            <w:tblPr>
              <w:tblStyle w:val="6"/>
              <w:tblW w:w="4961" w:type="dxa"/>
              <w:jc w:val="center"/>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680"/>
              <w:gridCol w:w="1220"/>
              <w:gridCol w:w="621"/>
              <w:gridCol w:w="738"/>
              <w:gridCol w:w="1702"/>
            </w:tblGrid>
            <w:tr w14:paraId="202DD485">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80" w:type="dxa"/>
                  <w:tcBorders>
                    <w:top w:val="outset" w:color="auto" w:sz="6" w:space="0"/>
                    <w:left w:val="outset" w:color="auto" w:sz="6" w:space="0"/>
                    <w:bottom w:val="outset" w:color="auto" w:sz="6" w:space="0"/>
                    <w:right w:val="outset" w:color="auto" w:sz="6" w:space="0"/>
                  </w:tcBorders>
                  <w:shd w:val="clear" w:color="auto" w:fill="auto"/>
                  <w:vAlign w:val="center"/>
                </w:tcPr>
                <w:p w14:paraId="5F19F045">
                  <w:pPr>
                    <w:keepNext w:val="0"/>
                    <w:keepLines w:val="0"/>
                    <w:widowControl/>
                    <w:suppressLineNumbers w:val="0"/>
                    <w:jc w:val="center"/>
                  </w:pPr>
                  <w:r>
                    <w:rPr>
                      <w:rFonts w:ascii="宋体" w:hAnsi="宋体" w:eastAsia="宋体" w:cs="宋体"/>
                      <w:kern w:val="0"/>
                      <w:sz w:val="24"/>
                      <w:szCs w:val="24"/>
                      <w:lang w:val="en-US" w:eastAsia="zh-CN" w:bidi="ar"/>
                    </w:rPr>
                    <w:t>7-1</w:t>
                  </w:r>
                </w:p>
              </w:tc>
              <w:tc>
                <w:tcPr>
                  <w:tcW w:w="1220" w:type="dxa"/>
                  <w:tcBorders>
                    <w:top w:val="outset" w:color="auto" w:sz="6" w:space="0"/>
                    <w:left w:val="outset" w:color="auto" w:sz="6" w:space="0"/>
                    <w:bottom w:val="outset" w:color="auto" w:sz="6" w:space="0"/>
                    <w:right w:val="outset" w:color="auto" w:sz="6" w:space="0"/>
                  </w:tcBorders>
                  <w:shd w:val="clear" w:color="auto" w:fill="auto"/>
                  <w:vAlign w:val="center"/>
                </w:tcPr>
                <w:p w14:paraId="61F2A237">
                  <w:pPr>
                    <w:keepNext w:val="0"/>
                    <w:keepLines w:val="0"/>
                    <w:widowControl/>
                    <w:suppressLineNumbers w:val="0"/>
                    <w:jc w:val="center"/>
                  </w:pPr>
                  <w:r>
                    <w:rPr>
                      <w:rFonts w:ascii="宋体" w:hAnsi="宋体" w:eastAsia="宋体" w:cs="宋体"/>
                      <w:kern w:val="0"/>
                      <w:sz w:val="24"/>
                      <w:szCs w:val="24"/>
                      <w:lang w:val="en-US" w:eastAsia="zh-CN" w:bidi="ar"/>
                    </w:rPr>
                    <w:t>3kg棉被</w:t>
                  </w:r>
                </w:p>
              </w:tc>
              <w:tc>
                <w:tcPr>
                  <w:tcW w:w="621" w:type="dxa"/>
                  <w:tcBorders>
                    <w:top w:val="outset" w:color="auto" w:sz="6" w:space="0"/>
                    <w:left w:val="outset" w:color="auto" w:sz="6" w:space="0"/>
                    <w:bottom w:val="outset" w:color="auto" w:sz="6" w:space="0"/>
                    <w:right w:val="outset" w:color="auto" w:sz="6" w:space="0"/>
                  </w:tcBorders>
                  <w:shd w:val="clear" w:color="auto" w:fill="auto"/>
                  <w:vAlign w:val="center"/>
                </w:tcPr>
                <w:p w14:paraId="7C292ABF">
                  <w:pPr>
                    <w:keepNext w:val="0"/>
                    <w:keepLines w:val="0"/>
                    <w:widowControl/>
                    <w:suppressLineNumbers w:val="0"/>
                    <w:jc w:val="center"/>
                  </w:pPr>
                  <w:r>
                    <w:rPr>
                      <w:rFonts w:ascii="宋体" w:hAnsi="宋体" w:eastAsia="宋体" w:cs="宋体"/>
                      <w:kern w:val="0"/>
                      <w:sz w:val="24"/>
                      <w:szCs w:val="24"/>
                      <w:lang w:val="en-US" w:eastAsia="zh-CN" w:bidi="ar"/>
                    </w:rPr>
                    <w:t>否</w:t>
                  </w:r>
                </w:p>
              </w:tc>
              <w:tc>
                <w:tcPr>
                  <w:tcW w:w="738" w:type="dxa"/>
                  <w:tcBorders>
                    <w:top w:val="outset" w:color="auto" w:sz="6" w:space="0"/>
                    <w:left w:val="outset" w:color="auto" w:sz="6" w:space="0"/>
                    <w:bottom w:val="outset" w:color="auto" w:sz="6" w:space="0"/>
                    <w:right w:val="outset" w:color="auto" w:sz="6" w:space="0"/>
                  </w:tcBorders>
                  <w:shd w:val="clear" w:color="auto" w:fill="auto"/>
                  <w:vAlign w:val="center"/>
                </w:tcPr>
                <w:p w14:paraId="73599133">
                  <w:pPr>
                    <w:keepNext w:val="0"/>
                    <w:keepLines w:val="0"/>
                    <w:widowControl/>
                    <w:suppressLineNumbers w:val="0"/>
                    <w:jc w:val="center"/>
                  </w:pPr>
                  <w:r>
                    <w:rPr>
                      <w:rFonts w:ascii="宋体" w:hAnsi="宋体" w:eastAsia="宋体" w:cs="宋体"/>
                      <w:kern w:val="0"/>
                      <w:sz w:val="24"/>
                      <w:szCs w:val="24"/>
                      <w:lang w:val="en-US" w:eastAsia="zh-CN" w:bidi="ar"/>
                    </w:rPr>
                    <w:t>7050（床）</w:t>
                  </w:r>
                </w:p>
              </w:tc>
              <w:tc>
                <w:tcPr>
                  <w:tcW w:w="1702" w:type="dxa"/>
                  <w:tcBorders>
                    <w:top w:val="outset" w:color="auto" w:sz="6" w:space="0"/>
                    <w:left w:val="outset" w:color="auto" w:sz="6" w:space="0"/>
                    <w:bottom w:val="outset" w:color="auto" w:sz="6" w:space="0"/>
                    <w:right w:val="outset" w:color="auto" w:sz="6" w:space="0"/>
                  </w:tcBorders>
                  <w:shd w:val="clear" w:color="auto" w:fill="auto"/>
                  <w:vAlign w:val="center"/>
                </w:tcPr>
                <w:p w14:paraId="4A51203A">
                  <w:pPr>
                    <w:keepNext w:val="0"/>
                    <w:keepLines w:val="0"/>
                    <w:widowControl/>
                    <w:suppressLineNumbers w:val="0"/>
                    <w:jc w:val="center"/>
                  </w:pPr>
                  <w:r>
                    <w:rPr>
                      <w:rFonts w:ascii="宋体" w:hAnsi="宋体" w:eastAsia="宋体" w:cs="宋体"/>
                      <w:kern w:val="0"/>
                      <w:sz w:val="24"/>
                      <w:szCs w:val="24"/>
                      <w:lang w:val="en-US" w:eastAsia="zh-CN" w:bidi="ar"/>
                    </w:rPr>
                    <w:t>1,057,500.0000</w:t>
                  </w:r>
                </w:p>
              </w:tc>
            </w:tr>
          </w:tbl>
          <w:p w14:paraId="120D28A0">
            <w:pPr>
              <w:jc w:val="center"/>
            </w:pPr>
          </w:p>
        </w:tc>
        <w:tc>
          <w:tcPr>
            <w:tcW w:w="856" w:type="dxa"/>
            <w:tcBorders>
              <w:top w:val="outset" w:color="auto" w:sz="6" w:space="0"/>
              <w:left w:val="outset" w:color="auto" w:sz="6" w:space="0"/>
              <w:bottom w:val="outset" w:color="auto" w:sz="6" w:space="0"/>
              <w:right w:val="outset" w:color="auto" w:sz="6" w:space="0"/>
            </w:tcBorders>
            <w:shd w:val="clear" w:color="auto" w:fill="auto"/>
            <w:vAlign w:val="center"/>
          </w:tcPr>
          <w:p w14:paraId="06575250">
            <w:pPr>
              <w:keepNext w:val="0"/>
              <w:keepLines w:val="0"/>
              <w:widowControl/>
              <w:suppressLineNumbers w:val="0"/>
              <w:jc w:val="center"/>
            </w:pPr>
            <w:r>
              <w:rPr>
                <w:rFonts w:ascii="宋体" w:hAnsi="宋体" w:eastAsia="宋体" w:cs="宋体"/>
                <w:kern w:val="0"/>
                <w:sz w:val="24"/>
                <w:szCs w:val="24"/>
                <w:lang w:val="en-US" w:eastAsia="zh-CN" w:bidi="ar"/>
              </w:rPr>
              <w:t>1057500</w:t>
            </w:r>
          </w:p>
        </w:tc>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14:paraId="6955E03D">
            <w:pPr>
              <w:keepNext w:val="0"/>
              <w:keepLines w:val="0"/>
              <w:widowControl/>
              <w:suppressLineNumbers w:val="0"/>
              <w:jc w:val="center"/>
            </w:pPr>
            <w:r>
              <w:rPr>
                <w:rFonts w:ascii="宋体" w:hAnsi="宋体" w:eastAsia="宋体" w:cs="宋体"/>
                <w:kern w:val="0"/>
                <w:sz w:val="24"/>
                <w:szCs w:val="24"/>
                <w:lang w:val="en-US" w:eastAsia="zh-CN" w:bidi="ar"/>
              </w:rPr>
              <w:t>21150</w:t>
            </w:r>
          </w:p>
        </w:tc>
      </w:tr>
    </w:tbl>
    <w:p w14:paraId="667A5DD7">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211FADCA">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2057D69B">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37ECCBF4">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3BF09E12">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391B19FD">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1D04A186">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34BC6FE4">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6013541D">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3F569798">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7E188693">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31"/>
          <w:szCs w:val="31"/>
        </w:rPr>
        <w:t>第二章</w:t>
      </w:r>
      <w:r>
        <w:rPr>
          <w:rStyle w:val="8"/>
          <w:b/>
          <w:spacing w:val="0"/>
          <w:sz w:val="31"/>
          <w:szCs w:val="31"/>
        </w:rPr>
        <w:t>   </w:t>
      </w:r>
      <w:r>
        <w:rPr>
          <w:rStyle w:val="8"/>
          <w:rFonts w:hint="eastAsia" w:ascii="宋体" w:hAnsi="宋体" w:eastAsia="宋体" w:cs="宋体"/>
          <w:b/>
          <w:spacing w:val="0"/>
          <w:sz w:val="31"/>
          <w:szCs w:val="31"/>
        </w:rPr>
        <w:t>投标人须知前附表（表1、</w:t>
      </w:r>
      <w:r>
        <w:rPr>
          <w:rStyle w:val="8"/>
          <w:rFonts w:hint="default" w:ascii="Times New Roman" w:hAnsi="Times New Roman" w:cs="Times New Roman"/>
          <w:b/>
          <w:spacing w:val="0"/>
          <w:sz w:val="31"/>
          <w:szCs w:val="31"/>
        </w:rPr>
        <w:t>2</w:t>
      </w:r>
      <w:r>
        <w:rPr>
          <w:rStyle w:val="8"/>
          <w:rFonts w:hint="eastAsia" w:ascii="宋体" w:hAnsi="宋体" w:eastAsia="宋体" w:cs="宋体"/>
          <w:b/>
          <w:spacing w:val="0"/>
          <w:sz w:val="31"/>
          <w:szCs w:val="31"/>
        </w:rPr>
        <w:t>）</w:t>
      </w:r>
    </w:p>
    <w:p w14:paraId="4913E07E">
      <w:pPr>
        <w:pStyle w:val="5"/>
        <w:keepNext w:val="0"/>
        <w:keepLines w:val="0"/>
        <w:widowControl/>
        <w:suppressLineNumbers w:val="0"/>
        <w:spacing w:before="75" w:beforeAutospacing="0" w:after="75" w:afterAutospacing="0"/>
        <w:ind w:left="0" w:right="0" w:firstLine="0"/>
      </w:pPr>
      <w:r>
        <w:rPr>
          <w:spacing w:val="0"/>
          <w:sz w:val="24"/>
          <w:szCs w:val="24"/>
        </w:rPr>
        <w:t> </w:t>
      </w:r>
    </w:p>
    <w:p w14:paraId="463E516B">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表</w:t>
      </w:r>
      <w:r>
        <w:rPr>
          <w:spacing w:val="0"/>
          <w:sz w:val="24"/>
          <w:szCs w:val="24"/>
        </w:rPr>
        <w:t>1</w:t>
      </w:r>
    </w:p>
    <w:tbl>
      <w:tblPr>
        <w:tblStyle w:val="6"/>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596"/>
        <w:gridCol w:w="1584"/>
        <w:gridCol w:w="6336"/>
      </w:tblGrid>
      <w:tr w14:paraId="467D0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8516" w:type="dxa"/>
            <w:gridSpan w:val="3"/>
            <w:tcBorders>
              <w:tl2br w:val="nil"/>
              <w:tr2bl w:val="nil"/>
            </w:tcBorders>
            <w:shd w:val="clear" w:color="auto" w:fill="auto"/>
            <w:tcMar>
              <w:top w:w="0" w:type="dxa"/>
              <w:left w:w="105" w:type="dxa"/>
              <w:bottom w:w="0" w:type="dxa"/>
              <w:right w:w="105" w:type="dxa"/>
            </w:tcMar>
            <w:vAlign w:val="center"/>
          </w:tcPr>
          <w:p w14:paraId="434C679B">
            <w:pPr>
              <w:pStyle w:val="5"/>
              <w:keepNext w:val="0"/>
              <w:keepLines w:val="0"/>
              <w:widowControl/>
              <w:suppressLineNumbers w:val="0"/>
              <w:spacing w:before="0" w:beforeAutospacing="0" w:after="0" w:afterAutospacing="0"/>
              <w:ind w:left="0" w:right="0"/>
              <w:jc w:val="center"/>
            </w:pPr>
            <w:r>
              <w:rPr>
                <w:rStyle w:val="8"/>
                <w:rFonts w:hint="eastAsia" w:ascii="宋体" w:hAnsi="宋体" w:eastAsia="宋体" w:cs="宋体"/>
                <w:b/>
                <w:spacing w:val="0"/>
                <w:sz w:val="24"/>
                <w:szCs w:val="24"/>
              </w:rPr>
              <w:t>特别提示：本表与招标文件对应章节的内容若不一致，以本表为准。</w:t>
            </w:r>
          </w:p>
        </w:tc>
      </w:tr>
      <w:tr w14:paraId="0C04F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14:paraId="285FB90D">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项号</w:t>
            </w:r>
          </w:p>
        </w:tc>
        <w:tc>
          <w:tcPr>
            <w:tcW w:w="1584" w:type="dxa"/>
            <w:tcBorders>
              <w:tl2br w:val="nil"/>
              <w:tr2bl w:val="nil"/>
            </w:tcBorders>
            <w:shd w:val="clear" w:color="auto" w:fill="auto"/>
            <w:tcMar>
              <w:top w:w="0" w:type="dxa"/>
              <w:left w:w="105" w:type="dxa"/>
              <w:bottom w:w="0" w:type="dxa"/>
              <w:right w:w="105" w:type="dxa"/>
            </w:tcMar>
            <w:vAlign w:val="center"/>
          </w:tcPr>
          <w:p w14:paraId="2C1752D7">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招标文件</w:t>
            </w:r>
          </w:p>
          <w:p w14:paraId="6E5AC041">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（第三章）</w:t>
            </w:r>
          </w:p>
        </w:tc>
        <w:tc>
          <w:tcPr>
            <w:tcW w:w="6336" w:type="dxa"/>
            <w:tcBorders>
              <w:tl2br w:val="nil"/>
              <w:tr2bl w:val="nil"/>
            </w:tcBorders>
            <w:shd w:val="clear" w:color="auto" w:fill="auto"/>
            <w:tcMar>
              <w:top w:w="0" w:type="dxa"/>
              <w:left w:w="105" w:type="dxa"/>
              <w:bottom w:w="0" w:type="dxa"/>
              <w:right w:w="105" w:type="dxa"/>
            </w:tcMar>
            <w:vAlign w:val="center"/>
          </w:tcPr>
          <w:p w14:paraId="742B4A37">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编列内容</w:t>
            </w:r>
          </w:p>
        </w:tc>
      </w:tr>
      <w:tr w14:paraId="25B05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14:paraId="27FCCF89">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w:t>
            </w:r>
          </w:p>
        </w:tc>
        <w:tc>
          <w:tcPr>
            <w:tcW w:w="1584" w:type="dxa"/>
            <w:tcBorders>
              <w:tl2br w:val="nil"/>
              <w:tr2bl w:val="nil"/>
            </w:tcBorders>
            <w:shd w:val="clear" w:color="auto" w:fill="auto"/>
            <w:tcMar>
              <w:top w:w="0" w:type="dxa"/>
              <w:left w:w="105" w:type="dxa"/>
              <w:bottom w:w="0" w:type="dxa"/>
              <w:right w:w="105" w:type="dxa"/>
            </w:tcMar>
            <w:vAlign w:val="center"/>
          </w:tcPr>
          <w:p w14:paraId="1B57ECC8">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6.1</w:t>
            </w:r>
          </w:p>
        </w:tc>
        <w:tc>
          <w:tcPr>
            <w:tcW w:w="6336" w:type="dxa"/>
            <w:tcBorders>
              <w:tl2br w:val="nil"/>
              <w:tr2bl w:val="nil"/>
            </w:tcBorders>
            <w:shd w:val="clear" w:color="auto" w:fill="auto"/>
            <w:tcMar>
              <w:top w:w="0" w:type="dxa"/>
              <w:left w:w="105" w:type="dxa"/>
              <w:bottom w:w="0" w:type="dxa"/>
              <w:right w:w="105" w:type="dxa"/>
            </w:tcMar>
            <w:vAlign w:val="center"/>
          </w:tcPr>
          <w:p w14:paraId="79C80661">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是否组织现场考察或召开开标前答疑会：</w:t>
            </w:r>
            <w:r>
              <w:rPr>
                <w:rFonts w:hint="eastAsia" w:ascii="宋体" w:hAnsi="宋体" w:eastAsia="宋体" w:cs="宋体"/>
                <w:spacing w:val="0"/>
                <w:sz w:val="24"/>
                <w:szCs w:val="24"/>
              </w:rPr>
              <w:t>否。</w:t>
            </w:r>
          </w:p>
        </w:tc>
      </w:tr>
      <w:tr w14:paraId="711CB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14:paraId="18FFF626">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2</w:t>
            </w:r>
          </w:p>
        </w:tc>
        <w:tc>
          <w:tcPr>
            <w:tcW w:w="1584" w:type="dxa"/>
            <w:tcBorders>
              <w:tl2br w:val="nil"/>
              <w:tr2bl w:val="nil"/>
            </w:tcBorders>
            <w:shd w:val="clear" w:color="auto" w:fill="auto"/>
            <w:tcMar>
              <w:top w:w="0" w:type="dxa"/>
              <w:left w:w="105" w:type="dxa"/>
              <w:bottom w:w="0" w:type="dxa"/>
              <w:right w:w="105" w:type="dxa"/>
            </w:tcMar>
            <w:vAlign w:val="center"/>
          </w:tcPr>
          <w:p w14:paraId="24877FE2">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10.4</w:t>
            </w:r>
          </w:p>
        </w:tc>
        <w:tc>
          <w:tcPr>
            <w:tcW w:w="6336" w:type="dxa"/>
            <w:tcBorders>
              <w:tl2br w:val="nil"/>
              <w:tr2bl w:val="nil"/>
            </w:tcBorders>
            <w:shd w:val="clear" w:color="auto" w:fill="auto"/>
            <w:tcMar>
              <w:top w:w="0" w:type="dxa"/>
              <w:left w:w="105" w:type="dxa"/>
              <w:bottom w:w="0" w:type="dxa"/>
              <w:right w:w="105" w:type="dxa"/>
            </w:tcMar>
            <w:vAlign w:val="center"/>
          </w:tcPr>
          <w:p w14:paraId="00042477">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投标文件的份数：</w:t>
            </w:r>
          </w:p>
          <w:p w14:paraId="2B63263B">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（1）纸质投标文件：</w:t>
            </w:r>
          </w:p>
          <w:p w14:paraId="1B26600D">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①资格及资信证明部分的正本</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份、副本</w:t>
            </w:r>
            <w:r>
              <w:rPr>
                <w:rFonts w:hint="eastAsia" w:ascii="宋体" w:hAnsi="宋体" w:eastAsia="宋体" w:cs="宋体"/>
                <w:spacing w:val="0"/>
                <w:sz w:val="24"/>
                <w:szCs w:val="24"/>
                <w:u w:val="single"/>
              </w:rPr>
              <w:t>5</w:t>
            </w:r>
            <w:r>
              <w:rPr>
                <w:rFonts w:hint="eastAsia" w:ascii="宋体" w:hAnsi="宋体" w:eastAsia="宋体" w:cs="宋体"/>
                <w:spacing w:val="0"/>
                <w:sz w:val="24"/>
                <w:szCs w:val="24"/>
              </w:rPr>
              <w:t>份，报价部分的正本</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份、副本</w:t>
            </w:r>
            <w:r>
              <w:rPr>
                <w:rFonts w:hint="eastAsia" w:ascii="宋体" w:hAnsi="宋体" w:eastAsia="宋体" w:cs="宋体"/>
                <w:spacing w:val="0"/>
                <w:sz w:val="24"/>
                <w:szCs w:val="24"/>
                <w:u w:val="single"/>
              </w:rPr>
              <w:t>5</w:t>
            </w:r>
            <w:r>
              <w:rPr>
                <w:rFonts w:hint="eastAsia" w:ascii="宋体" w:hAnsi="宋体" w:eastAsia="宋体" w:cs="宋体"/>
                <w:spacing w:val="0"/>
                <w:sz w:val="24"/>
                <w:szCs w:val="24"/>
              </w:rPr>
              <w:t>份，技术商务部分的正本</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份、副本</w:t>
            </w:r>
            <w:r>
              <w:rPr>
                <w:rFonts w:hint="eastAsia" w:ascii="宋体" w:hAnsi="宋体" w:eastAsia="宋体" w:cs="宋体"/>
                <w:spacing w:val="0"/>
                <w:sz w:val="24"/>
                <w:szCs w:val="24"/>
                <w:u w:val="single"/>
              </w:rPr>
              <w:t>5</w:t>
            </w:r>
            <w:r>
              <w:rPr>
                <w:rFonts w:hint="eastAsia" w:ascii="宋体" w:hAnsi="宋体" w:eastAsia="宋体" w:cs="宋体"/>
                <w:spacing w:val="0"/>
                <w:sz w:val="24"/>
                <w:szCs w:val="24"/>
              </w:rPr>
              <w:t>份。</w:t>
            </w:r>
          </w:p>
          <w:p w14:paraId="46024EB9">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②可读介质（光盘或</w:t>
            </w:r>
            <w:r>
              <w:rPr>
                <w:rFonts w:hint="default" w:ascii="Times New Roman" w:hAnsi="Times New Roman" w:cs="Times New Roman"/>
                <w:spacing w:val="0"/>
                <w:sz w:val="24"/>
                <w:szCs w:val="24"/>
              </w:rPr>
              <w:t>U</w:t>
            </w:r>
            <w:r>
              <w:rPr>
                <w:rFonts w:hint="eastAsia" w:ascii="宋体" w:hAnsi="宋体" w:eastAsia="宋体" w:cs="宋体"/>
                <w:spacing w:val="0"/>
                <w:sz w:val="24"/>
                <w:szCs w:val="24"/>
              </w:rPr>
              <w:t>盘）</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份：投标人应将其上传至福建省政府采购网上公开信息系统的电子投标文件在该可读介质中另存</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w:t>
            </w:r>
          </w:p>
          <w:p w14:paraId="25D54843">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（2）电子投标文件：详见表</w:t>
            </w:r>
            <w:r>
              <w:rPr>
                <w:rFonts w:hint="default" w:ascii="Times New Roman" w:hAnsi="Times New Roman" w:cs="Times New Roman"/>
                <w:spacing w:val="0"/>
                <w:sz w:val="24"/>
                <w:szCs w:val="24"/>
              </w:rPr>
              <w:t>2</w:t>
            </w:r>
            <w:r>
              <w:rPr>
                <w:rFonts w:hint="eastAsia" w:ascii="宋体" w:hAnsi="宋体" w:eastAsia="宋体" w:cs="宋体"/>
                <w:spacing w:val="0"/>
                <w:sz w:val="24"/>
                <w:szCs w:val="24"/>
              </w:rPr>
              <w:t>《关于电子招标投标活动的专门规定》。</w:t>
            </w:r>
          </w:p>
        </w:tc>
      </w:tr>
      <w:tr w14:paraId="6F47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14:paraId="181613D2">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3</w:t>
            </w:r>
          </w:p>
        </w:tc>
        <w:tc>
          <w:tcPr>
            <w:tcW w:w="1584" w:type="dxa"/>
            <w:tcBorders>
              <w:tl2br w:val="nil"/>
              <w:tr2bl w:val="nil"/>
            </w:tcBorders>
            <w:shd w:val="clear" w:color="auto" w:fill="auto"/>
            <w:tcMar>
              <w:top w:w="0" w:type="dxa"/>
              <w:left w:w="105" w:type="dxa"/>
              <w:bottom w:w="0" w:type="dxa"/>
              <w:right w:w="105" w:type="dxa"/>
            </w:tcMar>
            <w:vAlign w:val="center"/>
          </w:tcPr>
          <w:p w14:paraId="1597FA32">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10.5-（</w:t>
            </w:r>
            <w:r>
              <w:rPr>
                <w:rFonts w:hint="default" w:ascii="Times New Roman" w:hAnsi="Times New Roman" w:cs="Times New Roman"/>
                <w:spacing w:val="0"/>
                <w:sz w:val="24"/>
                <w:szCs w:val="24"/>
              </w:rPr>
              <w:t>2</w:t>
            </w:r>
            <w:r>
              <w:rPr>
                <w:rFonts w:hint="eastAsia" w:ascii="宋体" w:hAnsi="宋体" w:eastAsia="宋体" w:cs="宋体"/>
                <w:spacing w:val="0"/>
                <w:sz w:val="24"/>
                <w:szCs w:val="24"/>
              </w:rPr>
              <w:t>）</w:t>
            </w:r>
            <w:r>
              <w:rPr>
                <w:rFonts w:hint="default" w:ascii="Times New Roman" w:hAnsi="Times New Roman" w:cs="Times New Roman"/>
                <w:spacing w:val="0"/>
                <w:sz w:val="24"/>
                <w:szCs w:val="24"/>
              </w:rPr>
              <w:t>-</w:t>
            </w:r>
            <w:r>
              <w:rPr>
                <w:rFonts w:hint="eastAsia" w:ascii="宋体" w:hAnsi="宋体" w:eastAsia="宋体" w:cs="宋体"/>
                <w:spacing w:val="0"/>
                <w:sz w:val="24"/>
                <w:szCs w:val="24"/>
              </w:rPr>
              <w:t>③</w:t>
            </w:r>
          </w:p>
        </w:tc>
        <w:tc>
          <w:tcPr>
            <w:tcW w:w="6336" w:type="dxa"/>
            <w:tcBorders>
              <w:tl2br w:val="nil"/>
              <w:tr2bl w:val="nil"/>
            </w:tcBorders>
            <w:shd w:val="clear" w:color="auto" w:fill="auto"/>
            <w:tcMar>
              <w:top w:w="0" w:type="dxa"/>
              <w:left w:w="105" w:type="dxa"/>
              <w:bottom w:w="0" w:type="dxa"/>
              <w:right w:w="105" w:type="dxa"/>
            </w:tcMar>
            <w:vAlign w:val="center"/>
          </w:tcPr>
          <w:p w14:paraId="3EDFCAFC">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允许散装或活页装订的内容或材料：</w:t>
            </w:r>
          </w:p>
          <w:p w14:paraId="525C1453">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（1）投标文件的补充、修改或撤回；</w:t>
            </w:r>
          </w:p>
          <w:p w14:paraId="644E6F52">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（2）其他内容或材料：无</w:t>
            </w:r>
          </w:p>
        </w:tc>
      </w:tr>
      <w:tr w14:paraId="5F799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14:paraId="38C5B4DC">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4</w:t>
            </w:r>
          </w:p>
        </w:tc>
        <w:tc>
          <w:tcPr>
            <w:tcW w:w="1584" w:type="dxa"/>
            <w:tcBorders>
              <w:tl2br w:val="nil"/>
              <w:tr2bl w:val="nil"/>
            </w:tcBorders>
            <w:shd w:val="clear" w:color="auto" w:fill="auto"/>
            <w:tcMar>
              <w:top w:w="0" w:type="dxa"/>
              <w:left w:w="105" w:type="dxa"/>
              <w:bottom w:w="0" w:type="dxa"/>
              <w:right w:w="105" w:type="dxa"/>
            </w:tcMar>
            <w:vAlign w:val="center"/>
          </w:tcPr>
          <w:p w14:paraId="712E6616">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 10.7-（</w:t>
            </w:r>
            <w:r>
              <w:rPr>
                <w:rFonts w:hint="default" w:ascii="Times New Roman" w:hAnsi="Times New Roman" w:cs="Times New Roman"/>
                <w:spacing w:val="0"/>
                <w:sz w:val="24"/>
                <w:szCs w:val="24"/>
              </w:rPr>
              <w:t>1</w:t>
            </w:r>
            <w:r>
              <w:rPr>
                <w:rFonts w:hint="eastAsia" w:ascii="宋体" w:hAnsi="宋体" w:eastAsia="宋体" w:cs="宋体"/>
                <w:spacing w:val="0"/>
                <w:sz w:val="24"/>
                <w:szCs w:val="24"/>
              </w:rPr>
              <w:t>）</w:t>
            </w:r>
          </w:p>
        </w:tc>
        <w:tc>
          <w:tcPr>
            <w:tcW w:w="6336" w:type="dxa"/>
            <w:tcBorders>
              <w:tl2br w:val="nil"/>
              <w:tr2bl w:val="nil"/>
            </w:tcBorders>
            <w:shd w:val="clear" w:color="auto" w:fill="auto"/>
            <w:tcMar>
              <w:top w:w="0" w:type="dxa"/>
              <w:left w:w="105" w:type="dxa"/>
              <w:bottom w:w="0" w:type="dxa"/>
              <w:right w:w="105" w:type="dxa"/>
            </w:tcMar>
            <w:vAlign w:val="center"/>
          </w:tcPr>
          <w:p w14:paraId="05750EF5">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是否允许中标人将本项目的非主体、非关键性工作进行分包：</w:t>
            </w:r>
          </w:p>
          <w:p w14:paraId="5E43C277">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不允许。</w:t>
            </w:r>
          </w:p>
        </w:tc>
      </w:tr>
      <w:tr w14:paraId="185A2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14:paraId="6F1DA5F5">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5</w:t>
            </w:r>
          </w:p>
        </w:tc>
        <w:tc>
          <w:tcPr>
            <w:tcW w:w="1584" w:type="dxa"/>
            <w:tcBorders>
              <w:tl2br w:val="nil"/>
              <w:tr2bl w:val="nil"/>
            </w:tcBorders>
            <w:shd w:val="clear" w:color="auto" w:fill="auto"/>
            <w:tcMar>
              <w:top w:w="0" w:type="dxa"/>
              <w:left w:w="105" w:type="dxa"/>
              <w:bottom w:w="0" w:type="dxa"/>
              <w:right w:w="105" w:type="dxa"/>
            </w:tcMar>
            <w:vAlign w:val="center"/>
          </w:tcPr>
          <w:p w14:paraId="149BC2E0">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10.8-（</w:t>
            </w:r>
            <w:r>
              <w:rPr>
                <w:rFonts w:ascii="Calibri" w:hAnsi="Calibri" w:cs="Calibri"/>
                <w:spacing w:val="0"/>
                <w:sz w:val="24"/>
                <w:szCs w:val="24"/>
              </w:rPr>
              <w:t>1</w:t>
            </w:r>
            <w:r>
              <w:rPr>
                <w:rFonts w:hint="eastAsia" w:ascii="宋体" w:hAnsi="宋体" w:eastAsia="宋体" w:cs="宋体"/>
                <w:spacing w:val="0"/>
                <w:sz w:val="24"/>
                <w:szCs w:val="24"/>
              </w:rPr>
              <w:t>）</w:t>
            </w:r>
          </w:p>
        </w:tc>
        <w:tc>
          <w:tcPr>
            <w:tcW w:w="6336" w:type="dxa"/>
            <w:tcBorders>
              <w:tl2br w:val="nil"/>
              <w:tr2bl w:val="nil"/>
            </w:tcBorders>
            <w:shd w:val="clear" w:color="auto" w:fill="auto"/>
            <w:tcMar>
              <w:top w:w="0" w:type="dxa"/>
              <w:left w:w="105" w:type="dxa"/>
              <w:bottom w:w="0" w:type="dxa"/>
              <w:right w:w="105" w:type="dxa"/>
            </w:tcMar>
            <w:vAlign w:val="center"/>
          </w:tcPr>
          <w:p w14:paraId="1DEB7858">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投标有效期</w:t>
            </w:r>
            <w:r>
              <w:rPr>
                <w:rFonts w:hint="eastAsia" w:ascii="宋体" w:hAnsi="宋体" w:eastAsia="宋体" w:cs="宋体"/>
                <w:spacing w:val="0"/>
                <w:sz w:val="24"/>
                <w:szCs w:val="24"/>
              </w:rPr>
              <w:t>：投标截止时间起90个日历日。</w:t>
            </w:r>
          </w:p>
        </w:tc>
      </w:tr>
      <w:tr w14:paraId="1815F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14:paraId="589FFB77">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6</w:t>
            </w:r>
          </w:p>
        </w:tc>
        <w:tc>
          <w:tcPr>
            <w:tcW w:w="1584" w:type="dxa"/>
            <w:tcBorders>
              <w:tl2br w:val="nil"/>
              <w:tr2bl w:val="nil"/>
            </w:tcBorders>
            <w:shd w:val="clear" w:color="auto" w:fill="auto"/>
            <w:tcMar>
              <w:top w:w="0" w:type="dxa"/>
              <w:left w:w="105" w:type="dxa"/>
              <w:bottom w:w="0" w:type="dxa"/>
              <w:right w:w="105" w:type="dxa"/>
            </w:tcMar>
            <w:vAlign w:val="center"/>
          </w:tcPr>
          <w:p w14:paraId="08BCD5F9">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10.10-（</w:t>
            </w:r>
            <w:r>
              <w:rPr>
                <w:rFonts w:hint="default" w:ascii="Calibri" w:hAnsi="Calibri" w:cs="Calibri"/>
                <w:spacing w:val="0"/>
                <w:sz w:val="24"/>
                <w:szCs w:val="24"/>
              </w:rPr>
              <w:t>2</w:t>
            </w:r>
            <w:r>
              <w:rPr>
                <w:rFonts w:hint="eastAsia" w:ascii="宋体" w:hAnsi="宋体" w:eastAsia="宋体" w:cs="宋体"/>
                <w:spacing w:val="0"/>
                <w:sz w:val="24"/>
                <w:szCs w:val="24"/>
              </w:rPr>
              <w:t>）</w:t>
            </w:r>
          </w:p>
        </w:tc>
        <w:tc>
          <w:tcPr>
            <w:tcW w:w="6336" w:type="dxa"/>
            <w:tcBorders>
              <w:tl2br w:val="nil"/>
              <w:tr2bl w:val="nil"/>
            </w:tcBorders>
            <w:shd w:val="clear" w:color="auto" w:fill="auto"/>
            <w:tcMar>
              <w:top w:w="0" w:type="dxa"/>
              <w:left w:w="105" w:type="dxa"/>
              <w:bottom w:w="0" w:type="dxa"/>
              <w:right w:w="105" w:type="dxa"/>
            </w:tcMar>
            <w:vAlign w:val="center"/>
          </w:tcPr>
          <w:p w14:paraId="689186F4">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密封及其标记的具体形式：</w:t>
            </w:r>
          </w:p>
          <w:p w14:paraId="18016E9A">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（1）全部纸质投标文件（包括正本、副本及可读介质）均应密封，否则</w:t>
            </w:r>
            <w:r>
              <w:rPr>
                <w:rStyle w:val="8"/>
                <w:rFonts w:hint="eastAsia" w:ascii="宋体" w:hAnsi="宋体" w:eastAsia="宋体" w:cs="宋体"/>
                <w:b/>
                <w:spacing w:val="0"/>
                <w:sz w:val="24"/>
                <w:szCs w:val="24"/>
              </w:rPr>
              <w:t>投标将被拒绝。</w:t>
            </w:r>
          </w:p>
          <w:p w14:paraId="79C5D22A">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（2）密封的外包装应至少标记“项目名称、招标编号、所投合同包、投标人的全称”等内容，否则造成投标文件误投、遗漏或提前拆封的，</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不承担责任。</w:t>
            </w:r>
          </w:p>
          <w:p w14:paraId="602B1158">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3）其他：所有投标文件必须用A4幅面纸张打印装订，应编制封面、目录、页码，须用胶装（为永久性、无破坏不可拆分）装订成册，加盖骑缝章和逐页盖章，封面须加盖公章，副本可以用正本的完整复印件，并在封面标明“正本”、“副本”字样。正本与副本、电子文本如有不一致，则以正本为准。投标人未按上述要求编制的视为无效投标。 投标人应将投标文件的报价部分的正本和全部副本分别用信封密封，并分别标明招标编号、投标人名称、投标项目名称及“报价部分正本”或“报价部分副本”字样。投标文件的技术商务部分和资格及资信证明部分密封同报价部分。投标人投标时须提交报价部分正本、报价部分副本、技术商务部分正本、技术商务部分副本、资格及资信证明部分正本、资格及资信证明部分副本至少六个密封袋。投标文件未密封将导致投标被拒绝。 每一信封密封处应注明“于 之前（指投标邀请中规定的开标日期及时间）不准启封”的字样，并加盖投标人公章。未按照上述规定密封将导致投标文件被拒收。</w:t>
            </w:r>
          </w:p>
        </w:tc>
      </w:tr>
      <w:tr w14:paraId="45A1F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14:paraId="0E13EDB8">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7</w:t>
            </w:r>
          </w:p>
        </w:tc>
        <w:tc>
          <w:tcPr>
            <w:tcW w:w="1584" w:type="dxa"/>
            <w:tcBorders>
              <w:tl2br w:val="nil"/>
              <w:tr2bl w:val="nil"/>
            </w:tcBorders>
            <w:shd w:val="clear" w:color="auto" w:fill="auto"/>
            <w:tcMar>
              <w:top w:w="0" w:type="dxa"/>
              <w:left w:w="105" w:type="dxa"/>
              <w:bottom w:w="0" w:type="dxa"/>
              <w:right w:w="105" w:type="dxa"/>
            </w:tcMar>
            <w:vAlign w:val="center"/>
          </w:tcPr>
          <w:p w14:paraId="69A051E3">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12.1</w:t>
            </w:r>
          </w:p>
        </w:tc>
        <w:tc>
          <w:tcPr>
            <w:tcW w:w="6336" w:type="dxa"/>
            <w:tcBorders>
              <w:tl2br w:val="nil"/>
              <w:tr2bl w:val="nil"/>
            </w:tcBorders>
            <w:shd w:val="clear" w:color="auto" w:fill="auto"/>
            <w:tcMar>
              <w:top w:w="0" w:type="dxa"/>
              <w:left w:w="105" w:type="dxa"/>
              <w:bottom w:w="0" w:type="dxa"/>
              <w:right w:w="105" w:type="dxa"/>
            </w:tcMar>
            <w:vAlign w:val="center"/>
          </w:tcPr>
          <w:p w14:paraId="2584B8E1">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本项目推荐合同包1中标候选人数为1家，合同包2中标候选人数为1家，合同包3中标候选人数为1家，合同包4中标候选人数为1家，合同包5中标候选人数为1家，合同包6中标候选人数为1家，合同包7中标候选人数为1家。</w:t>
            </w:r>
          </w:p>
        </w:tc>
      </w:tr>
      <w:tr w14:paraId="11065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596" w:type="dxa"/>
            <w:tcBorders>
              <w:tl2br w:val="nil"/>
              <w:tr2bl w:val="nil"/>
            </w:tcBorders>
            <w:shd w:val="clear" w:color="auto" w:fill="auto"/>
            <w:tcMar>
              <w:top w:w="75" w:type="dxa"/>
              <w:left w:w="150" w:type="dxa"/>
              <w:bottom w:w="75" w:type="dxa"/>
              <w:right w:w="150" w:type="dxa"/>
            </w:tcMar>
            <w:vAlign w:val="center"/>
          </w:tcPr>
          <w:p w14:paraId="1E35084B">
            <w:pPr>
              <w:pStyle w:val="5"/>
              <w:keepNext w:val="0"/>
              <w:keepLines w:val="0"/>
              <w:widowControl/>
              <w:suppressLineNumbers w:val="0"/>
              <w:spacing w:before="0" w:beforeAutospacing="0" w:after="0" w:afterAutospacing="0"/>
              <w:ind w:left="0" w:right="0" w:firstLine="0"/>
            </w:pPr>
            <w:r>
              <w:rPr>
                <w:spacing w:val="0"/>
                <w:sz w:val="24"/>
                <w:szCs w:val="24"/>
              </w:rPr>
              <w:t>  8</w:t>
            </w:r>
          </w:p>
        </w:tc>
        <w:tc>
          <w:tcPr>
            <w:tcW w:w="1584" w:type="dxa"/>
            <w:tcBorders>
              <w:tl2br w:val="nil"/>
              <w:tr2bl w:val="nil"/>
            </w:tcBorders>
            <w:shd w:val="clear" w:color="auto" w:fill="auto"/>
            <w:tcMar>
              <w:top w:w="75" w:type="dxa"/>
              <w:left w:w="150" w:type="dxa"/>
              <w:bottom w:w="75" w:type="dxa"/>
              <w:right w:w="150" w:type="dxa"/>
            </w:tcMar>
            <w:vAlign w:val="center"/>
          </w:tcPr>
          <w:p w14:paraId="03D57036">
            <w:pPr>
              <w:pStyle w:val="5"/>
              <w:keepNext w:val="0"/>
              <w:keepLines w:val="0"/>
              <w:widowControl/>
              <w:suppressLineNumbers w:val="0"/>
              <w:spacing w:before="0" w:beforeAutospacing="0" w:after="0" w:afterAutospacing="0"/>
              <w:ind w:left="0" w:right="0" w:firstLine="0"/>
            </w:pPr>
            <w:r>
              <w:rPr>
                <w:spacing w:val="0"/>
                <w:sz w:val="24"/>
                <w:szCs w:val="24"/>
              </w:rPr>
              <w:t>  </w:t>
            </w:r>
            <w:r>
              <w:rPr>
                <w:rFonts w:hint="eastAsia" w:ascii="宋体" w:hAnsi="宋体" w:eastAsia="宋体" w:cs="宋体"/>
                <w:spacing w:val="0"/>
                <w:sz w:val="24"/>
                <w:szCs w:val="24"/>
              </w:rPr>
              <w:t>12.2</w:t>
            </w:r>
          </w:p>
        </w:tc>
        <w:tc>
          <w:tcPr>
            <w:tcW w:w="6336" w:type="dxa"/>
            <w:tcBorders>
              <w:tl2br w:val="nil"/>
              <w:tr2bl w:val="nil"/>
            </w:tcBorders>
            <w:shd w:val="clear" w:color="auto" w:fill="auto"/>
            <w:tcMar>
              <w:top w:w="75" w:type="dxa"/>
              <w:left w:w="150" w:type="dxa"/>
              <w:bottom w:w="75" w:type="dxa"/>
              <w:right w:w="150" w:type="dxa"/>
            </w:tcMar>
            <w:vAlign w:val="center"/>
          </w:tcPr>
          <w:p w14:paraId="1F7B3899">
            <w:pPr>
              <w:pStyle w:val="5"/>
              <w:keepNext w:val="0"/>
              <w:keepLines w:val="0"/>
              <w:widowControl/>
              <w:suppressLineNumbers w:val="0"/>
              <w:spacing w:before="0" w:beforeAutospacing="0" w:after="0" w:afterAutospacing="0"/>
              <w:ind w:left="0" w:right="0" w:firstLine="0"/>
            </w:pPr>
            <w:r>
              <w:rPr>
                <w:rStyle w:val="8"/>
                <w:rFonts w:hint="eastAsia" w:ascii="宋体" w:hAnsi="宋体" w:eastAsia="宋体" w:cs="宋体"/>
                <w:b/>
                <w:spacing w:val="0"/>
                <w:sz w:val="24"/>
                <w:szCs w:val="24"/>
              </w:rPr>
              <w:t>本项目中标人的确定（以合同包为单位）：</w:t>
            </w:r>
          </w:p>
          <w:p w14:paraId="6D44BCF6">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（1）采购人应在政府采购招投标管理办法规定的时限内确定中标人。</w:t>
            </w:r>
          </w:p>
          <w:p w14:paraId="03AB8F80">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（2）若出现中标候选人并列情形，则按照下列方式确定中标人：</w:t>
            </w:r>
          </w:p>
          <w:p w14:paraId="5451F90B">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①招标文件规定的方式：</w:t>
            </w:r>
            <w:r>
              <w:rPr>
                <w:spacing w:val="0"/>
                <w:sz w:val="24"/>
                <w:szCs w:val="24"/>
              </w:rPr>
              <w:t>无</w:t>
            </w:r>
            <w:r>
              <w:rPr>
                <w:rFonts w:hint="eastAsia" w:ascii="宋体" w:hAnsi="宋体" w:eastAsia="宋体" w:cs="宋体"/>
                <w:spacing w:val="0"/>
                <w:sz w:val="24"/>
                <w:szCs w:val="24"/>
              </w:rPr>
              <w:t>。</w:t>
            </w:r>
          </w:p>
          <w:p w14:paraId="0330E71E">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②若本款第①点规定方式为“无”，则按照下列方式确定：无。</w:t>
            </w:r>
          </w:p>
          <w:p w14:paraId="4FF56416">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③若本款第①、②点规定方式均为“无”，则按照下列方式确定：随机抽取。</w:t>
            </w:r>
          </w:p>
          <w:p w14:paraId="2FC5CD4D">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（3）本项目确定的中标人家数：</w:t>
            </w:r>
          </w:p>
          <w:p w14:paraId="22BBF4C4">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①本项目确定合同包1中标人数为1家，合同包2中标人数为1家，合同包3中标人数为1家，合同包4中标人数为1家，合同包5中标人数为1家，合同包6中标人数为1家，合同包7中标人数为1家；</w:t>
            </w:r>
          </w:p>
          <w:p w14:paraId="6D8FE88F">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②若出现中标候选人符合法定家数但不足本款第①点规定中标人家数情形，则按照中标候选人的实际家数确定中标人。</w:t>
            </w:r>
          </w:p>
        </w:tc>
      </w:tr>
      <w:tr w14:paraId="32188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14:paraId="39C3732A">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9</w:t>
            </w:r>
          </w:p>
        </w:tc>
        <w:tc>
          <w:tcPr>
            <w:tcW w:w="1584" w:type="dxa"/>
            <w:tcBorders>
              <w:tl2br w:val="nil"/>
              <w:tr2bl w:val="nil"/>
            </w:tcBorders>
            <w:shd w:val="clear" w:color="auto" w:fill="auto"/>
            <w:tcMar>
              <w:top w:w="0" w:type="dxa"/>
              <w:left w:w="105" w:type="dxa"/>
              <w:bottom w:w="0" w:type="dxa"/>
              <w:right w:w="105" w:type="dxa"/>
            </w:tcMar>
            <w:vAlign w:val="center"/>
          </w:tcPr>
          <w:p w14:paraId="12BC67D7">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 15.1-（</w:t>
            </w:r>
            <w:r>
              <w:rPr>
                <w:rFonts w:hint="default" w:ascii="Times New Roman" w:hAnsi="Times New Roman" w:cs="Times New Roman"/>
                <w:spacing w:val="0"/>
                <w:sz w:val="24"/>
                <w:szCs w:val="24"/>
              </w:rPr>
              <w:t>2</w:t>
            </w:r>
            <w:r>
              <w:rPr>
                <w:rFonts w:hint="eastAsia" w:ascii="宋体" w:hAnsi="宋体" w:eastAsia="宋体" w:cs="宋体"/>
                <w:spacing w:val="0"/>
                <w:sz w:val="24"/>
                <w:szCs w:val="24"/>
              </w:rPr>
              <w:t>）</w:t>
            </w:r>
          </w:p>
        </w:tc>
        <w:tc>
          <w:tcPr>
            <w:tcW w:w="6336" w:type="dxa"/>
            <w:tcBorders>
              <w:tl2br w:val="nil"/>
              <w:tr2bl w:val="nil"/>
            </w:tcBorders>
            <w:shd w:val="clear" w:color="auto" w:fill="auto"/>
            <w:tcMar>
              <w:top w:w="0" w:type="dxa"/>
              <w:left w:w="105" w:type="dxa"/>
              <w:bottom w:w="0" w:type="dxa"/>
              <w:right w:w="105" w:type="dxa"/>
            </w:tcMar>
            <w:vAlign w:val="center"/>
          </w:tcPr>
          <w:p w14:paraId="54F4F1F4">
            <w:pPr>
              <w:pStyle w:val="5"/>
              <w:keepNext w:val="0"/>
              <w:keepLines w:val="0"/>
              <w:widowControl/>
              <w:suppressLineNumbers w:val="0"/>
              <w:wordWrap w:val="0"/>
              <w:spacing w:before="0" w:beforeAutospacing="0" w:after="0" w:afterAutospacing="0"/>
              <w:ind w:left="0" w:right="0"/>
            </w:pPr>
            <w:r>
              <w:rPr>
                <w:rStyle w:val="8"/>
                <w:rFonts w:hint="eastAsia" w:ascii="宋体" w:hAnsi="宋体" w:eastAsia="宋体" w:cs="宋体"/>
                <w:b/>
                <w:spacing w:val="0"/>
                <w:sz w:val="24"/>
                <w:szCs w:val="24"/>
              </w:rPr>
              <w:t>质疑函原件应采用下列方式提交：</w:t>
            </w:r>
            <w:r>
              <w:rPr>
                <w:rFonts w:hint="eastAsia" w:ascii="宋体" w:hAnsi="宋体" w:eastAsia="宋体" w:cs="宋体"/>
                <w:spacing w:val="0"/>
                <w:sz w:val="24"/>
                <w:szCs w:val="24"/>
              </w:rPr>
              <w:t>书面形式。</w:t>
            </w:r>
          </w:p>
        </w:tc>
      </w:tr>
      <w:tr w14:paraId="164E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14:paraId="2192AFC7">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10</w:t>
            </w:r>
          </w:p>
        </w:tc>
        <w:tc>
          <w:tcPr>
            <w:tcW w:w="1584" w:type="dxa"/>
            <w:tcBorders>
              <w:tl2br w:val="nil"/>
              <w:tr2bl w:val="nil"/>
            </w:tcBorders>
            <w:shd w:val="clear" w:color="auto" w:fill="auto"/>
            <w:tcMar>
              <w:top w:w="0" w:type="dxa"/>
              <w:left w:w="105" w:type="dxa"/>
              <w:bottom w:w="0" w:type="dxa"/>
              <w:right w:w="105" w:type="dxa"/>
            </w:tcMar>
            <w:vAlign w:val="center"/>
          </w:tcPr>
          <w:p w14:paraId="5C226230">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 </w:t>
            </w:r>
          </w:p>
          <w:p w14:paraId="14B1A5A6">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   15.4</w:t>
            </w:r>
          </w:p>
          <w:p w14:paraId="2EDAF362">
            <w:pPr>
              <w:pStyle w:val="5"/>
              <w:keepNext w:val="0"/>
              <w:keepLines w:val="0"/>
              <w:widowControl/>
              <w:suppressLineNumbers w:val="0"/>
              <w:spacing w:before="0" w:beforeAutospacing="0" w:after="0" w:afterAutospacing="0"/>
              <w:ind w:left="0" w:right="0"/>
            </w:pPr>
            <w:r>
              <w:rPr>
                <w:rFonts w:hint="default" w:ascii="Calibri" w:hAnsi="Calibri" w:cs="Calibri"/>
                <w:spacing w:val="0"/>
                <w:sz w:val="24"/>
                <w:szCs w:val="24"/>
              </w:rPr>
              <w:t> </w:t>
            </w:r>
          </w:p>
          <w:p w14:paraId="3140A404">
            <w:pPr>
              <w:pStyle w:val="5"/>
              <w:keepNext w:val="0"/>
              <w:keepLines w:val="0"/>
              <w:widowControl/>
              <w:suppressLineNumbers w:val="0"/>
              <w:spacing w:before="0" w:beforeAutospacing="0" w:after="0" w:afterAutospacing="0"/>
              <w:ind w:left="0" w:right="0"/>
              <w:jc w:val="center"/>
            </w:pPr>
            <w:r>
              <w:rPr>
                <w:rFonts w:hint="default" w:ascii="Calibri" w:hAnsi="Calibri" w:cs="Calibri"/>
                <w:spacing w:val="0"/>
                <w:sz w:val="24"/>
                <w:szCs w:val="24"/>
              </w:rPr>
              <w:t> </w:t>
            </w:r>
          </w:p>
        </w:tc>
        <w:tc>
          <w:tcPr>
            <w:tcW w:w="6336" w:type="dxa"/>
            <w:tcBorders>
              <w:tl2br w:val="nil"/>
              <w:tr2bl w:val="nil"/>
            </w:tcBorders>
            <w:shd w:val="clear" w:color="auto" w:fill="auto"/>
            <w:tcMar>
              <w:top w:w="0" w:type="dxa"/>
              <w:left w:w="105" w:type="dxa"/>
              <w:bottom w:w="0" w:type="dxa"/>
              <w:right w:w="105" w:type="dxa"/>
            </w:tcMar>
            <w:vAlign w:val="center"/>
          </w:tcPr>
          <w:p w14:paraId="49D84B14">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招标文件的质疑</w:t>
            </w:r>
          </w:p>
          <w:p w14:paraId="41116580">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（1）潜在投标人可在质疑时效期间内对招标文件以书面形式提出质疑。</w:t>
            </w:r>
          </w:p>
          <w:p w14:paraId="60BA6282">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（2）质疑时效期间：</w:t>
            </w:r>
          </w:p>
          <w:p w14:paraId="16F69B34">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①在招标文件公告期限内：自招标文件首次下载之日起</w:t>
            </w:r>
            <w:r>
              <w:rPr>
                <w:rFonts w:hint="default" w:ascii="Times New Roman" w:hAnsi="Times New Roman" w:cs="Times New Roman"/>
                <w:spacing w:val="0"/>
                <w:sz w:val="24"/>
                <w:szCs w:val="24"/>
              </w:rPr>
              <w:t>7</w:t>
            </w:r>
            <w:r>
              <w:rPr>
                <w:rFonts w:hint="eastAsia" w:ascii="宋体" w:hAnsi="宋体" w:eastAsia="宋体" w:cs="宋体"/>
                <w:spacing w:val="0"/>
                <w:sz w:val="24"/>
                <w:szCs w:val="24"/>
              </w:rPr>
              <w:t>个工作日内向</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提出，招标文件公告期限、首次下载之日均以福建省政府采购网上公开信息系统记载的为准。</w:t>
            </w:r>
          </w:p>
          <w:p w14:paraId="186C46A0">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②在招标文件公告期限截止后至招标文件提供期限届满前的期间内：自招标文件公告期限届满之日起</w:t>
            </w:r>
            <w:r>
              <w:rPr>
                <w:rFonts w:hint="default" w:ascii="Times New Roman" w:hAnsi="Times New Roman" w:cs="Times New Roman"/>
                <w:spacing w:val="0"/>
                <w:sz w:val="24"/>
                <w:szCs w:val="24"/>
              </w:rPr>
              <w:t>7</w:t>
            </w:r>
            <w:r>
              <w:rPr>
                <w:rFonts w:hint="eastAsia" w:ascii="宋体" w:hAnsi="宋体" w:eastAsia="宋体" w:cs="宋体"/>
                <w:spacing w:val="0"/>
                <w:sz w:val="24"/>
                <w:szCs w:val="24"/>
              </w:rPr>
              <w:t>个工作日内向</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提出，招标文件公告期限、招标文件提供期限均以福建省政府采购网上公开信息系统记载的为准。</w:t>
            </w:r>
          </w:p>
          <w:p w14:paraId="530E4608">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※除上述规定外，对招标文件提出的质疑还应符合招标文件第三章第</w:t>
            </w:r>
            <w:r>
              <w:rPr>
                <w:rStyle w:val="8"/>
                <w:rFonts w:hint="default" w:ascii="Times New Roman" w:hAnsi="Times New Roman" w:cs="Times New Roman"/>
                <w:b/>
                <w:spacing w:val="0"/>
                <w:sz w:val="24"/>
                <w:szCs w:val="24"/>
              </w:rPr>
              <w:t>15.1</w:t>
            </w:r>
            <w:r>
              <w:rPr>
                <w:rStyle w:val="8"/>
                <w:rFonts w:hint="eastAsia" w:ascii="宋体" w:hAnsi="宋体" w:eastAsia="宋体" w:cs="宋体"/>
                <w:b/>
                <w:spacing w:val="0"/>
                <w:sz w:val="24"/>
                <w:szCs w:val="24"/>
              </w:rPr>
              <w:t>条的有关规定。</w:t>
            </w:r>
          </w:p>
        </w:tc>
      </w:tr>
      <w:tr w14:paraId="19F54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14:paraId="26C54DBD">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11</w:t>
            </w:r>
          </w:p>
        </w:tc>
        <w:tc>
          <w:tcPr>
            <w:tcW w:w="1584" w:type="dxa"/>
            <w:tcBorders>
              <w:tl2br w:val="nil"/>
              <w:tr2bl w:val="nil"/>
            </w:tcBorders>
            <w:shd w:val="clear" w:color="auto" w:fill="auto"/>
            <w:tcMar>
              <w:top w:w="0" w:type="dxa"/>
              <w:left w:w="105" w:type="dxa"/>
              <w:bottom w:w="0" w:type="dxa"/>
              <w:right w:w="105" w:type="dxa"/>
            </w:tcMar>
            <w:vAlign w:val="center"/>
          </w:tcPr>
          <w:p w14:paraId="5BD4915D">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16.1</w:t>
            </w:r>
          </w:p>
        </w:tc>
        <w:tc>
          <w:tcPr>
            <w:tcW w:w="6336" w:type="dxa"/>
            <w:tcBorders>
              <w:tl2br w:val="nil"/>
              <w:tr2bl w:val="nil"/>
            </w:tcBorders>
            <w:shd w:val="clear" w:color="auto" w:fill="auto"/>
            <w:tcMar>
              <w:top w:w="0" w:type="dxa"/>
              <w:left w:w="105" w:type="dxa"/>
              <w:bottom w:w="0" w:type="dxa"/>
              <w:right w:w="105" w:type="dxa"/>
            </w:tcMar>
            <w:vAlign w:val="center"/>
          </w:tcPr>
          <w:p w14:paraId="55196E3E">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监督管理部门：</w:t>
            </w:r>
            <w:r>
              <w:rPr>
                <w:rFonts w:hint="eastAsia" w:ascii="宋体" w:hAnsi="宋体" w:eastAsia="宋体" w:cs="宋体"/>
                <w:spacing w:val="0"/>
                <w:sz w:val="24"/>
                <w:szCs w:val="24"/>
              </w:rPr>
              <w:t>福建省财政厅</w:t>
            </w:r>
            <w:r>
              <w:rPr>
                <w:rStyle w:val="8"/>
                <w:rFonts w:hint="eastAsia" w:ascii="宋体" w:hAnsi="宋体" w:eastAsia="宋体" w:cs="宋体"/>
                <w:b/>
                <w:color w:val="337AB7"/>
                <w:spacing w:val="0"/>
                <w:sz w:val="24"/>
                <w:szCs w:val="24"/>
                <w:u w:val="none"/>
              </w:rPr>
              <w:t>（仅限依法进行政府采购的货物或服务类项目）</w:t>
            </w:r>
            <w:r>
              <w:rPr>
                <w:rFonts w:hint="eastAsia" w:ascii="宋体" w:hAnsi="宋体" w:eastAsia="宋体" w:cs="宋体"/>
                <w:spacing w:val="0"/>
              </w:rPr>
              <w:t>。</w:t>
            </w:r>
          </w:p>
        </w:tc>
      </w:tr>
      <w:tr w14:paraId="230A7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14:paraId="7E34BF29">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12</w:t>
            </w:r>
          </w:p>
        </w:tc>
        <w:tc>
          <w:tcPr>
            <w:tcW w:w="1584" w:type="dxa"/>
            <w:tcBorders>
              <w:tl2br w:val="nil"/>
              <w:tr2bl w:val="nil"/>
            </w:tcBorders>
            <w:shd w:val="clear" w:color="auto" w:fill="auto"/>
            <w:tcMar>
              <w:top w:w="0" w:type="dxa"/>
              <w:left w:w="105" w:type="dxa"/>
              <w:bottom w:w="0" w:type="dxa"/>
              <w:right w:w="105" w:type="dxa"/>
            </w:tcMar>
            <w:vAlign w:val="center"/>
          </w:tcPr>
          <w:p w14:paraId="442C67B4">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18.1</w:t>
            </w:r>
          </w:p>
        </w:tc>
        <w:tc>
          <w:tcPr>
            <w:tcW w:w="6336" w:type="dxa"/>
            <w:tcBorders>
              <w:tl2br w:val="nil"/>
              <w:tr2bl w:val="nil"/>
            </w:tcBorders>
            <w:shd w:val="clear" w:color="auto" w:fill="auto"/>
            <w:tcMar>
              <w:top w:w="0" w:type="dxa"/>
              <w:left w:w="105" w:type="dxa"/>
              <w:bottom w:w="0" w:type="dxa"/>
              <w:right w:w="105" w:type="dxa"/>
            </w:tcMar>
            <w:vAlign w:val="center"/>
          </w:tcPr>
          <w:p w14:paraId="1613CBDF">
            <w:pPr>
              <w:pStyle w:val="5"/>
              <w:keepNext w:val="0"/>
              <w:keepLines w:val="0"/>
              <w:widowControl/>
              <w:suppressLineNumbers w:val="0"/>
              <w:wordWrap w:val="0"/>
              <w:spacing w:before="0" w:beforeAutospacing="0" w:after="0" w:afterAutospacing="0"/>
              <w:ind w:left="0" w:right="0"/>
            </w:pPr>
            <w:r>
              <w:rPr>
                <w:rStyle w:val="8"/>
                <w:rFonts w:hint="eastAsia" w:ascii="宋体" w:hAnsi="宋体" w:eastAsia="宋体" w:cs="宋体"/>
                <w:b/>
                <w:spacing w:val="0"/>
                <w:sz w:val="24"/>
                <w:szCs w:val="24"/>
              </w:rPr>
              <w:t>财政部和福建省财政厅指定的政府采购信息发布媒体（以下简称：“指定媒体”）：</w:t>
            </w:r>
          </w:p>
          <w:p w14:paraId="4CC9768C">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（1）中国政府采购网，网址www.ccgp.gov.cn</w:t>
            </w:r>
            <w:r>
              <w:t>。</w:t>
            </w:r>
          </w:p>
          <w:p w14:paraId="0CE3F146">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（2）中国政府采购网福建分网（福建省政府采购网），网址zfcg.czt.fujian.gov.cn</w:t>
            </w:r>
            <w:r>
              <w:t>。</w:t>
            </w:r>
          </w:p>
          <w:p w14:paraId="18EBB9B3">
            <w:pPr>
              <w:pStyle w:val="5"/>
              <w:keepNext w:val="0"/>
              <w:keepLines w:val="0"/>
              <w:widowControl/>
              <w:suppressLineNumbers w:val="0"/>
              <w:wordWrap w:val="0"/>
              <w:spacing w:before="0" w:beforeAutospacing="0" w:after="0" w:afterAutospacing="0"/>
              <w:ind w:left="0" w:right="0"/>
            </w:pPr>
            <w:r>
              <w:rPr>
                <w:rStyle w:val="8"/>
                <w:rFonts w:hint="eastAsia" w:ascii="宋体" w:hAnsi="宋体" w:eastAsia="宋体" w:cs="宋体"/>
                <w:b/>
                <w:spacing w:val="0"/>
                <w:sz w:val="24"/>
                <w:szCs w:val="24"/>
              </w:rPr>
              <w:t>※除招标文件第一章第</w:t>
            </w:r>
            <w:r>
              <w:rPr>
                <w:rStyle w:val="8"/>
                <w:rFonts w:hint="default" w:ascii="Times New Roman" w:hAnsi="Times New Roman" w:cs="Times New Roman"/>
                <w:b/>
                <w:spacing w:val="0"/>
                <w:sz w:val="24"/>
                <w:szCs w:val="24"/>
              </w:rPr>
              <w:t>11.1</w:t>
            </w:r>
            <w:r>
              <w:rPr>
                <w:rStyle w:val="8"/>
                <w:rFonts w:hint="eastAsia" w:ascii="宋体" w:hAnsi="宋体" w:eastAsia="宋体" w:cs="宋体"/>
                <w:b/>
                <w:spacing w:val="0"/>
                <w:sz w:val="24"/>
                <w:szCs w:val="24"/>
              </w:rPr>
              <w:t>条规定情形外，若出现上述指定媒体信息不一致情形，应以中国政府采购网福建分网（福建省政府采购网）发布的为准。</w:t>
            </w:r>
          </w:p>
        </w:tc>
      </w:tr>
      <w:tr w14:paraId="58365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14:paraId="00CB9AFD">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13</w:t>
            </w:r>
          </w:p>
        </w:tc>
        <w:tc>
          <w:tcPr>
            <w:tcW w:w="1584" w:type="dxa"/>
            <w:tcBorders>
              <w:tl2br w:val="nil"/>
              <w:tr2bl w:val="nil"/>
            </w:tcBorders>
            <w:shd w:val="clear" w:color="auto" w:fill="auto"/>
            <w:tcMar>
              <w:top w:w="0" w:type="dxa"/>
              <w:left w:w="105" w:type="dxa"/>
              <w:bottom w:w="0" w:type="dxa"/>
              <w:right w:w="105" w:type="dxa"/>
            </w:tcMar>
            <w:vAlign w:val="center"/>
          </w:tcPr>
          <w:p w14:paraId="17B2B622">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19</w:t>
            </w:r>
          </w:p>
        </w:tc>
        <w:tc>
          <w:tcPr>
            <w:tcW w:w="6336" w:type="dxa"/>
            <w:tcBorders>
              <w:tl2br w:val="nil"/>
              <w:tr2bl w:val="nil"/>
            </w:tcBorders>
            <w:shd w:val="clear" w:color="auto" w:fill="auto"/>
            <w:tcMar>
              <w:top w:w="0" w:type="dxa"/>
              <w:left w:w="105" w:type="dxa"/>
              <w:bottom w:w="0" w:type="dxa"/>
              <w:right w:w="105" w:type="dxa"/>
            </w:tcMar>
            <w:vAlign w:val="center"/>
          </w:tcPr>
          <w:p w14:paraId="5863928C">
            <w:pPr>
              <w:pStyle w:val="5"/>
              <w:keepNext w:val="0"/>
              <w:keepLines w:val="0"/>
              <w:widowControl/>
              <w:suppressLineNumbers w:val="0"/>
              <w:wordWrap w:val="0"/>
              <w:spacing w:before="0" w:beforeAutospacing="0" w:after="0" w:afterAutospacing="0"/>
              <w:ind w:left="0" w:right="0"/>
            </w:pPr>
            <w:r>
              <w:rPr>
                <w:rStyle w:val="8"/>
                <w:rFonts w:hint="eastAsia" w:ascii="宋体" w:hAnsi="宋体" w:eastAsia="宋体" w:cs="宋体"/>
                <w:b/>
                <w:spacing w:val="0"/>
                <w:sz w:val="24"/>
                <w:szCs w:val="24"/>
              </w:rPr>
              <w:t>其他事项：</w:t>
            </w:r>
          </w:p>
          <w:p w14:paraId="708CECA7">
            <w:pPr>
              <w:pStyle w:val="5"/>
              <w:keepNext w:val="0"/>
              <w:keepLines w:val="0"/>
              <w:widowControl/>
              <w:suppressLineNumbers w:val="0"/>
              <w:wordWrap w:val="0"/>
              <w:spacing w:before="0" w:beforeAutospacing="0" w:after="0" w:afterAutospacing="0"/>
              <w:ind w:left="0" w:right="0"/>
            </w:pPr>
            <w:r>
              <w:rPr>
                <w:rStyle w:val="8"/>
                <w:rFonts w:hint="eastAsia" w:ascii="宋体" w:hAnsi="宋体" w:eastAsia="宋体" w:cs="宋体"/>
                <w:b/>
                <w:spacing w:val="0"/>
                <w:sz w:val="24"/>
                <w:szCs w:val="24"/>
              </w:rPr>
              <w:t>(1)本项目代理服务费由</w:t>
            </w:r>
            <w:r>
              <w:rPr>
                <w:rFonts w:hint="eastAsia" w:ascii="宋体" w:hAnsi="宋体" w:eastAsia="宋体" w:cs="宋体"/>
                <w:b/>
                <w:spacing w:val="0"/>
                <w:sz w:val="24"/>
                <w:szCs w:val="24"/>
              </w:rPr>
              <w:t>中标人</w:t>
            </w:r>
            <w:r>
              <w:rPr>
                <w:rStyle w:val="8"/>
                <w:rFonts w:hint="eastAsia" w:ascii="宋体" w:hAnsi="宋体" w:eastAsia="宋体" w:cs="宋体"/>
                <w:b/>
                <w:spacing w:val="0"/>
                <w:sz w:val="24"/>
                <w:szCs w:val="24"/>
              </w:rPr>
              <w:t>支付。</w:t>
            </w:r>
            <w:r>
              <w:rPr>
                <w:rStyle w:val="8"/>
                <w:rFonts w:hint="eastAsia" w:ascii="宋体" w:hAnsi="宋体" w:eastAsia="宋体" w:cs="宋体"/>
                <w:b/>
                <w:spacing w:val="0"/>
                <w:sz w:val="24"/>
                <w:szCs w:val="24"/>
              </w:rPr>
              <w:br w:type="textWrapping"/>
            </w:r>
            <w:r>
              <w:rPr>
                <w:rStyle w:val="8"/>
                <w:rFonts w:hint="eastAsia" w:ascii="宋体" w:hAnsi="宋体" w:eastAsia="宋体" w:cs="宋体"/>
                <w:b/>
                <w:spacing w:val="0"/>
                <w:sz w:val="24"/>
                <w:szCs w:val="24"/>
              </w:rPr>
              <w:t>(2)其他：</w:t>
            </w:r>
            <w:r>
              <w:rPr>
                <w:rFonts w:hint="eastAsia" w:ascii="宋体" w:hAnsi="宋体" w:eastAsia="宋体" w:cs="宋体"/>
                <w:b/>
                <w:spacing w:val="0"/>
                <w:sz w:val="24"/>
                <w:szCs w:val="24"/>
              </w:rPr>
              <w:t>投标文件将被拒收、投标将被拒绝、投标无效及废标条款：具体内容详见招标文件各章节，请各投标人认真查看对照。 ①　第一章投标邀请第7.2、9.2条款； ②　第二章投标人须知前附表序号6的编列内容，第二章投标人须知表2关于投标无效的规定； ③　第三章投标人须知第9.2、9.3、9.4、9.5、9.6、9.7、10.6（1）、10.6（3）、10.8（2）、10.9、10.1</w:t>
            </w:r>
            <w:r>
              <w:rPr>
                <w:rFonts w:hint="eastAsia" w:ascii="宋体" w:hAnsi="宋体" w:eastAsia="宋体" w:cs="宋体"/>
                <w:b/>
                <w:spacing w:val="0"/>
                <w:sz w:val="24"/>
                <w:szCs w:val="24"/>
                <w:lang w:val="en-US" w:eastAsia="zh-CN"/>
              </w:rPr>
              <w:t>1</w:t>
            </w:r>
            <w:r>
              <w:rPr>
                <w:rFonts w:hint="eastAsia" w:ascii="宋体" w:hAnsi="宋体" w:eastAsia="宋体" w:cs="宋体"/>
                <w:b/>
                <w:spacing w:val="0"/>
                <w:sz w:val="24"/>
                <w:szCs w:val="24"/>
              </w:rPr>
              <w:t>、10.1</w:t>
            </w:r>
            <w:r>
              <w:rPr>
                <w:rFonts w:hint="eastAsia" w:ascii="宋体" w:hAnsi="宋体" w:eastAsia="宋体" w:cs="宋体"/>
                <w:b/>
                <w:spacing w:val="0"/>
                <w:sz w:val="24"/>
                <w:szCs w:val="24"/>
                <w:lang w:val="en-US" w:eastAsia="zh-CN"/>
              </w:rPr>
              <w:t>2</w:t>
            </w:r>
            <w:r>
              <w:rPr>
                <w:rFonts w:hint="eastAsia" w:ascii="宋体" w:hAnsi="宋体" w:eastAsia="宋体" w:cs="宋体"/>
                <w:b/>
                <w:spacing w:val="0"/>
                <w:sz w:val="24"/>
                <w:szCs w:val="24"/>
              </w:rPr>
              <w:t>（2）条款； 除第三章第10.5条第（2）款第③点规定情形外，投标文件散装或活页装订将导致投标无效。④　第四章资格审查与评标中第1.4、6.2（6）、6.3（3）、6.4、6.7、6.9、6.10条款及7.2评标标准中关于投标无效的规定； ⑤　出现第五章招标内容及要求中投标无效规定的； ⑥　出现第七章投标文件格式中投标无效规定的。⑦ 以及未在本表中列明的招标文件其他地方规定的条款；</w:t>
            </w:r>
          </w:p>
        </w:tc>
      </w:tr>
      <w:tr w14:paraId="5FCB3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80" w:type="dxa"/>
            <w:gridSpan w:val="2"/>
            <w:tcBorders>
              <w:tl2br w:val="nil"/>
              <w:tr2bl w:val="nil"/>
            </w:tcBorders>
            <w:shd w:val="clear" w:color="auto" w:fill="auto"/>
            <w:tcMar>
              <w:top w:w="75" w:type="dxa"/>
              <w:left w:w="150" w:type="dxa"/>
              <w:bottom w:w="75" w:type="dxa"/>
              <w:right w:w="150" w:type="dxa"/>
            </w:tcMar>
            <w:vAlign w:val="center"/>
          </w:tcPr>
          <w:p w14:paraId="1413ACC1">
            <w:pPr>
              <w:pStyle w:val="5"/>
              <w:keepNext w:val="0"/>
              <w:keepLines w:val="0"/>
              <w:widowControl/>
              <w:suppressLineNumbers w:val="0"/>
              <w:spacing w:before="0" w:beforeAutospacing="0" w:after="0" w:afterAutospacing="0"/>
              <w:ind w:left="0" w:right="0" w:firstLine="0"/>
            </w:pPr>
            <w:r>
              <w:rPr>
                <w:rFonts w:hint="eastAsia" w:ascii="宋体" w:hAnsi="宋体" w:eastAsia="宋体" w:cs="宋体"/>
                <w:spacing w:val="0"/>
                <w:sz w:val="24"/>
                <w:szCs w:val="24"/>
              </w:rPr>
              <w:t>     备注</w:t>
            </w:r>
          </w:p>
        </w:tc>
        <w:tc>
          <w:tcPr>
            <w:tcW w:w="6336" w:type="dxa"/>
            <w:tcBorders>
              <w:tl2br w:val="nil"/>
              <w:tr2bl w:val="nil"/>
            </w:tcBorders>
            <w:shd w:val="clear" w:color="auto" w:fill="auto"/>
            <w:tcMar>
              <w:top w:w="75" w:type="dxa"/>
              <w:left w:w="150" w:type="dxa"/>
              <w:bottom w:w="75" w:type="dxa"/>
              <w:right w:w="150" w:type="dxa"/>
            </w:tcMar>
            <w:vAlign w:val="center"/>
          </w:tcPr>
          <w:p w14:paraId="594410FD">
            <w:pPr>
              <w:pStyle w:val="5"/>
              <w:keepNext w:val="0"/>
              <w:keepLines w:val="0"/>
              <w:widowControl/>
              <w:suppressLineNumbers w:val="0"/>
              <w:spacing w:before="0" w:beforeAutospacing="0" w:after="0" w:afterAutospacing="0"/>
              <w:ind w:left="0" w:right="0" w:firstLine="0"/>
            </w:pPr>
            <w:r>
              <w:rPr>
                <w:rStyle w:val="8"/>
                <w:rFonts w:hint="eastAsia" w:ascii="宋体" w:hAnsi="宋体" w:eastAsia="宋体" w:cs="宋体"/>
                <w:b/>
                <w:spacing w:val="0"/>
                <w:sz w:val="24"/>
                <w:szCs w:val="24"/>
              </w:rPr>
              <w:t>后有表</w:t>
            </w:r>
            <w:r>
              <w:rPr>
                <w:rStyle w:val="8"/>
                <w:rFonts w:hint="default" w:ascii="Times New Roman" w:hAnsi="Times New Roman" w:cs="Times New Roman"/>
                <w:b/>
                <w:spacing w:val="0"/>
                <w:sz w:val="24"/>
                <w:szCs w:val="24"/>
              </w:rPr>
              <w:t>2</w:t>
            </w:r>
            <w:r>
              <w:rPr>
                <w:rStyle w:val="8"/>
                <w:rFonts w:hint="eastAsia" w:ascii="宋体" w:hAnsi="宋体" w:eastAsia="宋体" w:cs="宋体"/>
                <w:b/>
                <w:spacing w:val="0"/>
                <w:sz w:val="24"/>
                <w:szCs w:val="24"/>
              </w:rPr>
              <w:t>，请勿遗漏。</w:t>
            </w:r>
          </w:p>
        </w:tc>
      </w:tr>
    </w:tbl>
    <w:p w14:paraId="33933ECE">
      <w:pPr>
        <w:pStyle w:val="5"/>
        <w:keepNext w:val="0"/>
        <w:keepLines w:val="0"/>
        <w:widowControl/>
        <w:suppressLineNumbers w:val="0"/>
        <w:spacing w:before="75" w:beforeAutospacing="0" w:after="75" w:afterAutospacing="0"/>
        <w:ind w:left="0" w:right="0" w:firstLine="0"/>
      </w:pPr>
      <w:r>
        <w:rPr>
          <w:spacing w:val="0"/>
          <w:sz w:val="24"/>
          <w:szCs w:val="24"/>
        </w:rPr>
        <w:t> </w:t>
      </w:r>
    </w:p>
    <w:p w14:paraId="3C1DA84D">
      <w:pPr>
        <w:pStyle w:val="5"/>
        <w:keepNext w:val="0"/>
        <w:keepLines w:val="0"/>
        <w:widowControl/>
        <w:suppressLineNumbers w:val="0"/>
        <w:spacing w:before="75" w:beforeAutospacing="0" w:after="75" w:afterAutospacing="0"/>
        <w:ind w:left="0" w:right="0" w:firstLine="0"/>
      </w:pPr>
      <w:r>
        <w:rPr>
          <w:spacing w:val="0"/>
          <w:sz w:val="24"/>
          <w:szCs w:val="24"/>
        </w:rPr>
        <w:t> </w:t>
      </w:r>
    </w:p>
    <w:p w14:paraId="68321B0F">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7608EF91">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734C093B">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6006FE36">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5A564562">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22B0808D">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56FE5D0F">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4C2CDC27">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27470B43">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2C369EA6">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711C4C38">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15CF3BA4">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6B0A41C5">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表2</w:t>
      </w:r>
    </w:p>
    <w:tbl>
      <w:tblPr>
        <w:tblStyle w:val="6"/>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480"/>
        <w:gridCol w:w="8036"/>
      </w:tblGrid>
      <w:tr w14:paraId="4FA26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8516" w:type="dxa"/>
            <w:gridSpan w:val="2"/>
            <w:tcBorders>
              <w:tl2br w:val="nil"/>
              <w:tr2bl w:val="nil"/>
            </w:tcBorders>
            <w:shd w:val="clear" w:color="auto" w:fill="auto"/>
            <w:tcMar>
              <w:top w:w="0" w:type="dxa"/>
              <w:left w:w="105" w:type="dxa"/>
              <w:bottom w:w="0" w:type="dxa"/>
              <w:right w:w="105" w:type="dxa"/>
            </w:tcMar>
            <w:vAlign w:val="center"/>
          </w:tcPr>
          <w:p w14:paraId="09CFE950">
            <w:pPr>
              <w:pStyle w:val="5"/>
              <w:keepNext w:val="0"/>
              <w:keepLines w:val="0"/>
              <w:widowControl/>
              <w:suppressLineNumbers w:val="0"/>
              <w:spacing w:before="0" w:beforeAutospacing="0" w:after="0" w:afterAutospacing="0"/>
              <w:ind w:left="0" w:right="0"/>
              <w:jc w:val="center"/>
            </w:pPr>
            <w:r>
              <w:rPr>
                <w:rStyle w:val="8"/>
                <w:rFonts w:hint="eastAsia" w:ascii="宋体" w:hAnsi="宋体" w:eastAsia="宋体" w:cs="宋体"/>
                <w:b/>
                <w:spacing w:val="0"/>
                <w:sz w:val="24"/>
                <w:szCs w:val="24"/>
              </w:rPr>
              <w:t>关于电子招标投标活动的专门规定</w:t>
            </w:r>
          </w:p>
        </w:tc>
      </w:tr>
      <w:tr w14:paraId="2A583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480" w:type="dxa"/>
            <w:tcBorders>
              <w:tl2br w:val="nil"/>
              <w:tr2bl w:val="nil"/>
            </w:tcBorders>
            <w:shd w:val="clear" w:color="auto" w:fill="auto"/>
            <w:tcMar>
              <w:top w:w="0" w:type="dxa"/>
              <w:left w:w="105" w:type="dxa"/>
              <w:bottom w:w="0" w:type="dxa"/>
              <w:right w:w="105" w:type="dxa"/>
            </w:tcMar>
            <w:vAlign w:val="center"/>
          </w:tcPr>
          <w:p w14:paraId="5B4893DC">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序号</w:t>
            </w:r>
          </w:p>
        </w:tc>
        <w:tc>
          <w:tcPr>
            <w:tcW w:w="8036" w:type="dxa"/>
            <w:tcBorders>
              <w:tl2br w:val="nil"/>
              <w:tr2bl w:val="nil"/>
            </w:tcBorders>
            <w:shd w:val="clear" w:color="auto" w:fill="auto"/>
            <w:tcMar>
              <w:top w:w="0" w:type="dxa"/>
              <w:left w:w="105" w:type="dxa"/>
              <w:bottom w:w="0" w:type="dxa"/>
              <w:right w:w="105" w:type="dxa"/>
            </w:tcMar>
            <w:vAlign w:val="center"/>
          </w:tcPr>
          <w:p w14:paraId="7BD1931F">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编列内容</w:t>
            </w:r>
          </w:p>
        </w:tc>
      </w:tr>
      <w:tr w14:paraId="651C3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480" w:type="dxa"/>
            <w:tcBorders>
              <w:tl2br w:val="nil"/>
              <w:tr2bl w:val="nil"/>
            </w:tcBorders>
            <w:shd w:val="clear" w:color="auto" w:fill="auto"/>
            <w:tcMar>
              <w:top w:w="0" w:type="dxa"/>
              <w:left w:w="105" w:type="dxa"/>
              <w:bottom w:w="0" w:type="dxa"/>
              <w:right w:w="105" w:type="dxa"/>
            </w:tcMar>
            <w:vAlign w:val="center"/>
          </w:tcPr>
          <w:p w14:paraId="679DDB40">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w:t>
            </w:r>
          </w:p>
        </w:tc>
        <w:tc>
          <w:tcPr>
            <w:tcW w:w="8036" w:type="dxa"/>
            <w:tcBorders>
              <w:tl2br w:val="nil"/>
              <w:tr2bl w:val="nil"/>
            </w:tcBorders>
            <w:shd w:val="clear" w:color="auto" w:fill="auto"/>
            <w:tcMar>
              <w:top w:w="0" w:type="dxa"/>
              <w:left w:w="105" w:type="dxa"/>
              <w:bottom w:w="0" w:type="dxa"/>
              <w:right w:w="105" w:type="dxa"/>
            </w:tcMar>
            <w:vAlign w:val="center"/>
          </w:tcPr>
          <w:p w14:paraId="7A71C47F">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（1）招标文件中除下述第（</w:t>
            </w:r>
            <w:r>
              <w:rPr>
                <w:rFonts w:hint="default" w:ascii="Calibri" w:hAnsi="Calibri" w:cs="Calibri"/>
                <w:spacing w:val="0"/>
                <w:sz w:val="24"/>
                <w:szCs w:val="24"/>
              </w:rPr>
              <w:t>2</w:t>
            </w:r>
            <w:r>
              <w:rPr>
                <w:rFonts w:hint="eastAsia" w:ascii="宋体" w:hAnsi="宋体" w:eastAsia="宋体" w:cs="宋体"/>
                <w:spacing w:val="0"/>
                <w:sz w:val="24"/>
                <w:szCs w:val="24"/>
              </w:rPr>
              <w:t>）、（</w:t>
            </w:r>
            <w:r>
              <w:rPr>
                <w:rFonts w:hint="default" w:ascii="Calibri" w:hAnsi="Calibri" w:cs="Calibri"/>
                <w:spacing w:val="0"/>
                <w:sz w:val="24"/>
                <w:szCs w:val="24"/>
              </w:rPr>
              <w:t>3</w:t>
            </w:r>
            <w:r>
              <w:rPr>
                <w:rFonts w:hint="eastAsia" w:ascii="宋体" w:hAnsi="宋体" w:eastAsia="宋体" w:cs="宋体"/>
                <w:spacing w:val="0"/>
                <w:sz w:val="24"/>
                <w:szCs w:val="24"/>
              </w:rPr>
              <w:t>）款所述内容外的其他内容及规定适用本项目的电子招标投标活动。</w:t>
            </w:r>
          </w:p>
          <w:p w14:paraId="3EA25795">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（2）将招标文件</w:t>
            </w:r>
            <w:r>
              <w:rPr>
                <w:rFonts w:hint="eastAsia" w:ascii="宋体" w:hAnsi="宋体" w:eastAsia="宋体" w:cs="宋体"/>
                <w:spacing w:val="0"/>
                <w:sz w:val="24"/>
                <w:szCs w:val="24"/>
                <w:u w:val="single"/>
              </w:rPr>
              <w:t>无</w:t>
            </w:r>
            <w:r>
              <w:rPr>
                <w:rFonts w:hint="eastAsia" w:ascii="宋体" w:hAnsi="宋体" w:eastAsia="宋体" w:cs="宋体"/>
                <w:spacing w:val="0"/>
                <w:sz w:val="24"/>
                <w:szCs w:val="24"/>
              </w:rPr>
              <w:t>的内容</w:t>
            </w:r>
            <w:r>
              <w:rPr>
                <w:rStyle w:val="8"/>
                <w:rFonts w:hint="eastAsia" w:ascii="宋体" w:hAnsi="宋体" w:eastAsia="宋体" w:cs="宋体"/>
                <w:b/>
                <w:spacing w:val="0"/>
                <w:sz w:val="24"/>
                <w:szCs w:val="24"/>
              </w:rPr>
              <w:t>修正为</w:t>
            </w:r>
            <w:r>
              <w:rPr>
                <w:rFonts w:hint="eastAsia" w:ascii="宋体" w:hAnsi="宋体" w:eastAsia="宋体" w:cs="宋体"/>
                <w:spacing w:val="0"/>
                <w:sz w:val="24"/>
                <w:szCs w:val="24"/>
              </w:rPr>
              <w:t>下列内容：</w:t>
            </w:r>
            <w:r>
              <w:rPr>
                <w:rFonts w:hint="eastAsia" w:ascii="宋体" w:hAnsi="宋体" w:eastAsia="宋体" w:cs="宋体"/>
                <w:spacing w:val="0"/>
                <w:sz w:val="24"/>
                <w:szCs w:val="24"/>
                <w:u w:val="single"/>
              </w:rPr>
              <w:t>无</w:t>
            </w:r>
            <w:r>
              <w:rPr>
                <w:rFonts w:hint="eastAsia" w:ascii="宋体" w:hAnsi="宋体" w:eastAsia="宋体" w:cs="宋体"/>
                <w:spacing w:val="0"/>
                <w:sz w:val="24"/>
                <w:szCs w:val="24"/>
              </w:rPr>
              <w:t>后适用本项目的电子招标投标活动。</w:t>
            </w:r>
          </w:p>
          <w:p w14:paraId="6FD3A14E">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（3）将下列内容</w:t>
            </w:r>
            <w:r>
              <w:rPr>
                <w:rStyle w:val="8"/>
                <w:rFonts w:hint="eastAsia" w:ascii="宋体" w:hAnsi="宋体" w:eastAsia="宋体" w:cs="宋体"/>
                <w:b/>
                <w:spacing w:val="0"/>
                <w:sz w:val="24"/>
                <w:szCs w:val="24"/>
              </w:rPr>
              <w:t>增列为</w:t>
            </w:r>
            <w:r>
              <w:rPr>
                <w:rFonts w:hint="eastAsia" w:ascii="宋体" w:hAnsi="宋体" w:eastAsia="宋体" w:cs="宋体"/>
                <w:spacing w:val="0"/>
                <w:sz w:val="24"/>
                <w:szCs w:val="24"/>
              </w:rPr>
              <w:t>招标文件的组成部分（以下简称：“增列内容”）适用本项目的电子招标投标活动，若增列内容与招标文件其他章节内容有冲突，应以增列内容为准：</w:t>
            </w:r>
          </w:p>
          <w:p w14:paraId="01A9BC21">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①电子招标投标活动的具体操作流程以福建省政府采购网上公开信息系统设定的为准。</w:t>
            </w:r>
          </w:p>
          <w:p w14:paraId="73F73A07">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②关于投标文件：</w:t>
            </w:r>
          </w:p>
          <w:p w14:paraId="7BA08EF7">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a.投标人应按照福建省政府采购网上公开信息系统设定的评审节点编制电子投标文件，否则</w:t>
            </w:r>
            <w:r>
              <w:rPr>
                <w:rStyle w:val="8"/>
                <w:rFonts w:hint="eastAsia" w:ascii="宋体" w:hAnsi="宋体" w:eastAsia="宋体" w:cs="宋体"/>
                <w:b/>
                <w:spacing w:val="0"/>
                <w:sz w:val="24"/>
                <w:szCs w:val="24"/>
              </w:rPr>
              <w:t>资格审查小组、评标委员会将按照不利于投标人的内容进行认定。</w:t>
            </w:r>
          </w:p>
          <w:p w14:paraId="09279312">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b.投标人应在投标截止时间前按照福建省政府采购网上公开信息系统设定的操作流程将电子投标文件</w:t>
            </w:r>
            <w:r>
              <w:rPr>
                <w:rStyle w:val="8"/>
                <w:rFonts w:hint="eastAsia" w:ascii="宋体" w:hAnsi="宋体" w:eastAsia="宋体" w:cs="宋体"/>
                <w:b/>
                <w:spacing w:val="0"/>
                <w:sz w:val="24"/>
                <w:szCs w:val="24"/>
                <w:u w:val="single"/>
              </w:rPr>
              <w:t>1</w:t>
            </w:r>
            <w:r>
              <w:rPr>
                <w:rFonts w:hint="eastAsia" w:ascii="宋体" w:hAnsi="宋体" w:eastAsia="宋体" w:cs="宋体"/>
                <w:spacing w:val="0"/>
                <w:sz w:val="24"/>
                <w:szCs w:val="24"/>
              </w:rPr>
              <w:t>份上传至福建省政府采购网上公开信息系统，电子投标文件应与纸质投标文件保持一致，并以电子投标文件为准。电子投标文件的分项报价一览表、纸质投标文件的分项报价一览表、投标客户端的分项报价一览表应保持一致，并以投标客户端的分项报价一览表为准。</w:t>
            </w:r>
          </w:p>
          <w:p w14:paraId="5147D40F">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c.若出现福建省政府采购网上公开信息系统设定的意外情形（如：系统故障等），经本项目监督管理部门同意使用纸质投标文件的，应以纸质投标文件为准。</w:t>
            </w:r>
          </w:p>
          <w:p w14:paraId="4CCE9557">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③关于证明材料或资料：</w:t>
            </w:r>
          </w:p>
          <w:p w14:paraId="43122059">
            <w:pPr>
              <w:pStyle w:val="5"/>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a.除《检察机关行贿犯罪档案查询结果告知函》外，招标文件要求原件的，投标人在电子投标文件中可提供复印件（含扫描件），但在纸质投标文件正本中应提供原件</w:t>
            </w:r>
            <w:r>
              <w:rPr>
                <w:rStyle w:val="8"/>
                <w:rFonts w:hint="eastAsia" w:ascii="宋体" w:hAnsi="宋体" w:eastAsia="宋体" w:cs="宋体"/>
                <w:b/>
                <w:sz w:val="24"/>
                <w:szCs w:val="24"/>
              </w:rPr>
              <w:t>（资格审查小组、评标委员会将核对纸质投标文件正本，未提供原件的证明材料或资料将导致投标无效）</w:t>
            </w:r>
            <w:r>
              <w:rPr>
                <w:rFonts w:hint="eastAsia" w:ascii="宋体" w:hAnsi="宋体" w:eastAsia="宋体" w:cs="宋体"/>
                <w:sz w:val="24"/>
                <w:szCs w:val="24"/>
              </w:rPr>
              <w:t>；招标文件要求复印件的，投标人在纸质投标文件中提供原件、复印件（含扫描件）皆可；招标文件对原件、复印件未作要求的，投标人在纸质投标文件中提供原件、复印件（含扫描件）皆可。</w:t>
            </w:r>
          </w:p>
          <w:p w14:paraId="1B819682">
            <w:pPr>
              <w:pStyle w:val="5"/>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b.除《检察机关行贿犯罪档案查询结果告知函》外，若投标人提供注明“复印件无效”的证明材料或资料，其纸质投标文件正本中应提供原件</w:t>
            </w:r>
            <w:r>
              <w:rPr>
                <w:rStyle w:val="8"/>
                <w:rFonts w:hint="eastAsia" w:ascii="宋体" w:hAnsi="宋体" w:eastAsia="宋体" w:cs="宋体"/>
                <w:b/>
                <w:sz w:val="24"/>
                <w:szCs w:val="24"/>
              </w:rPr>
              <w:t>（资格审查小组、评标委员会将核对纸质投标文件正本，未提供原件的证明材料或资料将导致投标无效）。</w:t>
            </w:r>
          </w:p>
          <w:p w14:paraId="2C7BCFA0">
            <w:pPr>
              <w:pStyle w:val="5"/>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c.《检察机关行贿犯罪档案查询结果告知函》</w:t>
            </w:r>
          </w:p>
          <w:p w14:paraId="472F6427">
            <w:pPr>
              <w:pStyle w:val="5"/>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c1投标人在电子投标文件中可提供复印件（含扫描件）、符合招标文件第七章规定的打印件（或截图），在纸质投标文件正本中提供原件、复印件（含扫描件）、符合招标文件第七章规定的打印件（或截图）皆可。</w:t>
            </w:r>
          </w:p>
          <w:p w14:paraId="2B1C444B">
            <w:pPr>
              <w:pStyle w:val="5"/>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c2《检察机关行贿犯罪档案查询结果告知函》应在有效期内且内容完整、清晰、整洁，否则</w:t>
            </w:r>
            <w:r>
              <w:rPr>
                <w:rStyle w:val="8"/>
                <w:rFonts w:hint="eastAsia" w:ascii="宋体" w:hAnsi="宋体" w:eastAsia="宋体" w:cs="宋体"/>
                <w:b/>
                <w:sz w:val="24"/>
                <w:szCs w:val="24"/>
              </w:rPr>
              <w:t>投标无效。</w:t>
            </w:r>
          </w:p>
          <w:p w14:paraId="3B5182D6">
            <w:pPr>
              <w:pStyle w:val="5"/>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c3有效期内的《检察机关行贿犯罪档案查询结果告知函》复印件（含扫描件）及符合招标文件第七章规定的打印件（或截图），无论内容中是否注明“复印件无效”，</w:t>
            </w:r>
            <w:r>
              <w:rPr>
                <w:rStyle w:val="8"/>
                <w:rFonts w:hint="eastAsia" w:ascii="宋体" w:hAnsi="宋体" w:eastAsia="宋体" w:cs="宋体"/>
                <w:b/>
                <w:sz w:val="24"/>
                <w:szCs w:val="24"/>
              </w:rPr>
              <w:t>均视同有效。</w:t>
            </w:r>
          </w:p>
          <w:p w14:paraId="5911125C">
            <w:pPr>
              <w:pStyle w:val="5"/>
              <w:keepNext w:val="0"/>
              <w:keepLines w:val="0"/>
              <w:widowControl/>
              <w:suppressLineNumbers w:val="0"/>
              <w:wordWrap w:val="0"/>
              <w:spacing w:before="0" w:beforeAutospacing="0" w:after="0" w:afterAutospacing="0"/>
              <w:ind w:left="0" w:right="0"/>
            </w:pPr>
          </w:p>
          <w:p w14:paraId="48721F51">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④关于“全称”、“投标人代表签字”及“加盖单位公章”：</w:t>
            </w:r>
          </w:p>
          <w:p w14:paraId="0AB46DC7">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a.在电子投标文件中，涉及“全称”和“投标人代表签字”的内容可使用打字录入方式完成。</w:t>
            </w:r>
          </w:p>
          <w:p w14:paraId="1D57D8D3">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b.在电子投标文件中，涉及“加盖单位公章”的内容应使用投标人的</w:t>
            </w:r>
            <w:r>
              <w:rPr>
                <w:rFonts w:hint="default" w:ascii="Calibri" w:hAnsi="Calibri" w:cs="Calibri"/>
                <w:spacing w:val="0"/>
                <w:sz w:val="24"/>
                <w:szCs w:val="24"/>
              </w:rPr>
              <w:t>CA</w:t>
            </w:r>
            <w:r>
              <w:rPr>
                <w:rFonts w:hint="eastAsia" w:ascii="宋体" w:hAnsi="宋体" w:eastAsia="宋体" w:cs="宋体"/>
                <w:spacing w:val="0"/>
                <w:sz w:val="24"/>
                <w:szCs w:val="24"/>
              </w:rPr>
              <w:t>证书完成，否则</w:t>
            </w:r>
            <w:r>
              <w:rPr>
                <w:rStyle w:val="8"/>
                <w:rFonts w:hint="eastAsia" w:ascii="宋体" w:hAnsi="宋体" w:eastAsia="宋体" w:cs="宋体"/>
                <w:b/>
                <w:spacing w:val="0"/>
                <w:sz w:val="24"/>
                <w:szCs w:val="24"/>
              </w:rPr>
              <w:t>投标无效。</w:t>
            </w:r>
          </w:p>
          <w:p w14:paraId="3C2F0834">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c.在电子投标文件中，若投标人按照本增列内容第④点第</w:t>
            </w:r>
            <w:r>
              <w:rPr>
                <w:rFonts w:hint="default" w:ascii="Calibri" w:hAnsi="Calibri" w:cs="Calibri"/>
                <w:spacing w:val="0"/>
                <w:sz w:val="24"/>
                <w:szCs w:val="24"/>
              </w:rPr>
              <w:t>b</w:t>
            </w:r>
            <w:r>
              <w:rPr>
                <w:rFonts w:hint="eastAsia" w:ascii="宋体" w:hAnsi="宋体" w:eastAsia="宋体" w:cs="宋体"/>
                <w:spacing w:val="0"/>
                <w:sz w:val="24"/>
                <w:szCs w:val="24"/>
              </w:rPr>
              <w:t>项规定加盖其单位公章，则出现无全称、或投标人代表未签字等情形，</w:t>
            </w:r>
            <w:r>
              <w:rPr>
                <w:rStyle w:val="8"/>
                <w:rFonts w:hint="eastAsia" w:ascii="宋体" w:hAnsi="宋体" w:eastAsia="宋体" w:cs="宋体"/>
                <w:b/>
                <w:spacing w:val="0"/>
                <w:sz w:val="24"/>
                <w:szCs w:val="24"/>
              </w:rPr>
              <w:t>不视为投标无效。</w:t>
            </w:r>
          </w:p>
          <w:p w14:paraId="7DC04F4B">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⑤关于投标人的</w:t>
            </w:r>
            <w:r>
              <w:rPr>
                <w:rFonts w:hint="default" w:ascii="Calibri" w:hAnsi="Calibri" w:cs="Calibri"/>
                <w:spacing w:val="0"/>
                <w:sz w:val="24"/>
                <w:szCs w:val="24"/>
              </w:rPr>
              <w:t>CA</w:t>
            </w:r>
            <w:r>
              <w:rPr>
                <w:rFonts w:hint="eastAsia" w:ascii="宋体" w:hAnsi="宋体" w:eastAsia="宋体" w:cs="宋体"/>
                <w:spacing w:val="0"/>
                <w:sz w:val="24"/>
                <w:szCs w:val="24"/>
              </w:rPr>
              <w:t>证书：</w:t>
            </w:r>
          </w:p>
          <w:p w14:paraId="61B80BF4">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a.投标人的</w:t>
            </w:r>
            <w:r>
              <w:rPr>
                <w:rFonts w:hint="default" w:ascii="Calibri" w:hAnsi="Calibri" w:cs="Calibri"/>
                <w:spacing w:val="0"/>
                <w:sz w:val="24"/>
                <w:szCs w:val="24"/>
              </w:rPr>
              <w:t>CA</w:t>
            </w:r>
            <w:r>
              <w:rPr>
                <w:rFonts w:hint="eastAsia" w:ascii="宋体" w:hAnsi="宋体" w:eastAsia="宋体" w:cs="宋体"/>
                <w:spacing w:val="0"/>
                <w:sz w:val="24"/>
                <w:szCs w:val="24"/>
              </w:rPr>
              <w:t>证书应在投标截止时间前连同密封的纸质投标文件送达招标文件第一章第</w:t>
            </w:r>
            <w:r>
              <w:rPr>
                <w:rFonts w:hint="default" w:ascii="Calibri" w:hAnsi="Calibri" w:cs="Calibri"/>
                <w:spacing w:val="0"/>
                <w:sz w:val="24"/>
                <w:szCs w:val="24"/>
              </w:rPr>
              <w:t>10</w:t>
            </w:r>
            <w:r>
              <w:rPr>
                <w:rFonts w:hint="eastAsia" w:ascii="宋体" w:hAnsi="宋体" w:eastAsia="宋体" w:cs="宋体"/>
                <w:spacing w:val="0"/>
                <w:sz w:val="24"/>
                <w:szCs w:val="24"/>
              </w:rPr>
              <w:t>条载明的地点，否则</w:t>
            </w:r>
            <w:r>
              <w:rPr>
                <w:rStyle w:val="8"/>
                <w:rFonts w:hint="eastAsia" w:ascii="宋体" w:hAnsi="宋体" w:eastAsia="宋体" w:cs="宋体"/>
                <w:b/>
                <w:spacing w:val="0"/>
                <w:sz w:val="24"/>
                <w:szCs w:val="24"/>
              </w:rPr>
              <w:t>投标将被拒绝。</w:t>
            </w:r>
          </w:p>
          <w:p w14:paraId="3A508856">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b.投标人的</w:t>
            </w:r>
            <w:r>
              <w:rPr>
                <w:rFonts w:hint="default" w:ascii="Calibri" w:hAnsi="Calibri" w:cs="Calibri"/>
                <w:spacing w:val="0"/>
                <w:sz w:val="24"/>
                <w:szCs w:val="24"/>
              </w:rPr>
              <w:t>CA</w:t>
            </w:r>
            <w:r>
              <w:rPr>
                <w:rFonts w:hint="eastAsia" w:ascii="宋体" w:hAnsi="宋体" w:eastAsia="宋体" w:cs="宋体"/>
                <w:spacing w:val="0"/>
                <w:sz w:val="24"/>
                <w:szCs w:val="24"/>
              </w:rPr>
              <w:t>证书可采用信封（包括但不限于：信封、档案袋、文件袋等）作为外包装进行单独包装。外包装密封、不密封皆可。</w:t>
            </w:r>
          </w:p>
          <w:p w14:paraId="092D748E">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c.投标人的</w:t>
            </w:r>
            <w:r>
              <w:rPr>
                <w:rFonts w:hint="default" w:ascii="Calibri" w:hAnsi="Calibri" w:cs="Calibri"/>
                <w:spacing w:val="0"/>
                <w:sz w:val="24"/>
                <w:szCs w:val="24"/>
              </w:rPr>
              <w:t>CA</w:t>
            </w:r>
            <w:r>
              <w:rPr>
                <w:rFonts w:hint="eastAsia" w:ascii="宋体" w:hAnsi="宋体" w:eastAsia="宋体" w:cs="宋体"/>
                <w:spacing w:val="0"/>
                <w:sz w:val="24"/>
                <w:szCs w:val="24"/>
              </w:rPr>
              <w:t>证书或外包装应标记“项目名称、招标编号、投标人的全称”等内容，以方便识别、使用。</w:t>
            </w:r>
          </w:p>
          <w:p w14:paraId="1475CF5D">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d.投标人的</w:t>
            </w:r>
            <w:r>
              <w:rPr>
                <w:rFonts w:hint="default" w:ascii="Calibri" w:hAnsi="Calibri" w:cs="Calibri"/>
                <w:spacing w:val="0"/>
                <w:sz w:val="24"/>
                <w:szCs w:val="24"/>
              </w:rPr>
              <w:t>CA</w:t>
            </w:r>
            <w:r>
              <w:rPr>
                <w:rFonts w:hint="eastAsia" w:ascii="宋体" w:hAnsi="宋体" w:eastAsia="宋体" w:cs="宋体"/>
                <w:spacing w:val="0"/>
                <w:sz w:val="24"/>
                <w:szCs w:val="24"/>
              </w:rPr>
              <w:t>证书应能正常、有效使用，否则产生不利后果由投标人承担责任。</w:t>
            </w:r>
          </w:p>
          <w:p w14:paraId="6782AF9E">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⑥关于投标截止时间过后</w:t>
            </w:r>
          </w:p>
          <w:p w14:paraId="6EE34333">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a.被福建省政府采购网上公开信息系统判定为投标保证金未提交（即未于投标截止时间前到达招标文件载明的投标保证金账户）的投标人，</w:t>
            </w:r>
            <w:r>
              <w:rPr>
                <w:rStyle w:val="8"/>
                <w:rFonts w:hint="eastAsia" w:ascii="宋体" w:hAnsi="宋体" w:eastAsia="宋体" w:cs="宋体"/>
                <w:b/>
                <w:spacing w:val="0"/>
                <w:sz w:val="24"/>
                <w:szCs w:val="24"/>
              </w:rPr>
              <w:t>投标将被拒绝。</w:t>
            </w:r>
          </w:p>
          <w:p w14:paraId="1C27526B">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b.有下列情形之一的，其</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,其保证金不予退还：</w:t>
            </w:r>
          </w:p>
          <w:p w14:paraId="09A06A94">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b1不同投标人的电子投标文件被福建省政府采购网上公开信息系统判定为具有相同内部识别码；</w:t>
            </w:r>
          </w:p>
          <w:p w14:paraId="429B77F2">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b2不同投标人的投标保证金被福建省政府采购网上公开信息系统判定为从同一单位或个人的账户转出；</w:t>
            </w:r>
          </w:p>
          <w:p w14:paraId="65694B41">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b3投标人的投标保证金被福建省政府采购网上公开信息系统判定为同一合同项下有其他投标人提交的投标保证金</w:t>
            </w:r>
          </w:p>
          <w:p w14:paraId="40BC3FBD">
            <w:pPr>
              <w:pStyle w:val="5"/>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b4不同投标人被福建省政府采购网上公开信息系统判定为串通投标的其他情形。</w:t>
            </w:r>
          </w:p>
          <w:p w14:paraId="0017B411">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⑦接受联合体投标且投标人为联合体的，投标人应由“联合体牵头方”完成福建省政府采购网上公开信息系统设定的具体操作流程（包括但不限于：报名、提交投标保证金、编制电子投标文件等）。</w:t>
            </w:r>
          </w:p>
          <w:p w14:paraId="54FE0B6B">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⑧其他：</w:t>
            </w:r>
            <w:r>
              <w:rPr>
                <w:spacing w:val="0"/>
                <w:sz w:val="24"/>
                <w:szCs w:val="24"/>
              </w:rPr>
              <w:t>1、招标代理服务费按国家计划委员会（计价格[2002]1980号文规定的招标收费标准，以差额定率累计法计算。本项目的招标代理服务费由中标人支付，招标文件内若有冲突条款的，以本条规定为准。 2、中标人应在领取中标通知书的同时以转帐、电汇付款方式一次性向招标代理人缴纳中标服务费。 开户行:华夏银行股份有限公司福州晋安支行 账 号：12255000000186362 开户名称：福建省顺鑫招标代理有限公司。</w:t>
            </w:r>
          </w:p>
        </w:tc>
      </w:tr>
    </w:tbl>
    <w:p w14:paraId="4E6593FA">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31"/>
          <w:szCs w:val="31"/>
        </w:rPr>
        <w:t>第三章   投标人须知</w:t>
      </w:r>
    </w:p>
    <w:p w14:paraId="4983D2FF">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6914B25B">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一、总则</w:t>
      </w:r>
    </w:p>
    <w:p w14:paraId="6988C909">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1、适用范围</w:t>
      </w:r>
    </w:p>
    <w:p w14:paraId="6922B69C">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1.1适用于招标文件载明项目的政府采购活动（以下简称：“本次采购活动”）。</w:t>
      </w:r>
    </w:p>
    <w:p w14:paraId="1685751C">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2、定义</w:t>
      </w:r>
    </w:p>
    <w:p w14:paraId="3282AA0C">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2.1“采购标的”指招标文件载明的需要采购的货物或服务。</w:t>
      </w:r>
    </w:p>
    <w:p w14:paraId="64B15B14">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2.2“潜在投标人”指按照招标文件第一章第</w:t>
      </w:r>
      <w:r>
        <w:rPr>
          <w:rFonts w:hint="default" w:ascii="Calibri" w:hAnsi="Calibri" w:cs="Calibri"/>
          <w:spacing w:val="0"/>
          <w:sz w:val="24"/>
          <w:szCs w:val="24"/>
        </w:rPr>
        <w:t>7</w:t>
      </w:r>
      <w:r>
        <w:rPr>
          <w:rFonts w:hint="eastAsia" w:ascii="宋体" w:hAnsi="宋体" w:eastAsia="宋体" w:cs="宋体"/>
          <w:spacing w:val="0"/>
          <w:sz w:val="24"/>
          <w:szCs w:val="24"/>
        </w:rPr>
        <w:t>条规定进行报名且有意向参加本项目投标的供应商。</w:t>
      </w:r>
    </w:p>
    <w:p w14:paraId="3B7A0C5C">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2.3“投标人”指按照招标文件第一章第</w:t>
      </w:r>
      <w:r>
        <w:rPr>
          <w:rFonts w:hint="default" w:ascii="Calibri" w:hAnsi="Calibri" w:cs="Calibri"/>
          <w:spacing w:val="0"/>
          <w:sz w:val="24"/>
          <w:szCs w:val="24"/>
        </w:rPr>
        <w:t>7</w:t>
      </w:r>
      <w:r>
        <w:rPr>
          <w:rFonts w:hint="eastAsia" w:ascii="宋体" w:hAnsi="宋体" w:eastAsia="宋体" w:cs="宋体"/>
          <w:spacing w:val="0"/>
          <w:sz w:val="24"/>
          <w:szCs w:val="24"/>
        </w:rPr>
        <w:t>条规定进行报名并参加本项目投标的供应商。</w:t>
      </w:r>
    </w:p>
    <w:p w14:paraId="036712C4">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2.4“单位负责人”指单位法定代表人或法律、法规规定代表单位行使职权的主要负责人。</w:t>
      </w:r>
    </w:p>
    <w:p w14:paraId="0AEFBAA0">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2.5“投标人代表”指投标人的单位负责人或“单位负责人授权书”中载明的接受授权方。</w:t>
      </w:r>
    </w:p>
    <w:p w14:paraId="4148326E">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61C629F2">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二、投标人</w:t>
      </w:r>
    </w:p>
    <w:p w14:paraId="3DC2648F">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3、合格投标人</w:t>
      </w:r>
    </w:p>
    <w:p w14:paraId="5DAA7F1C">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3.1一般规定</w:t>
      </w:r>
    </w:p>
    <w:p w14:paraId="641ADECF">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（1）投标人应遵守政府采购法及实施条例、政府采购招投标管理办法、</w:t>
      </w:r>
      <w:r>
        <w:rPr>
          <w:rFonts w:hint="eastAsia" w:ascii="宋体" w:hAnsi="宋体" w:eastAsia="宋体" w:cs="宋体"/>
        </w:rPr>
        <w:t>政府采购质疑和投诉办法及财政部、</w:t>
      </w:r>
      <w:r>
        <w:rPr>
          <w:rFonts w:hint="eastAsia" w:ascii="宋体" w:hAnsi="宋体" w:eastAsia="宋体" w:cs="宋体"/>
          <w:spacing w:val="0"/>
        </w:rPr>
        <w:t>福建省财政厅有关政府采购文件的规定，同时还应遵守有关法律、法规和规章的强制性规定。</w:t>
      </w:r>
    </w:p>
    <w:p w14:paraId="3C2871DA">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（2）投标人的资格要求：详见招标文件第一章。</w:t>
      </w:r>
    </w:p>
    <w:p w14:paraId="2DF47839">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3.2若本项目接受联合体投标且投标人为联合体，则联合体各方应遵守本章第3.1条规定，同时还应遵守下列规定：</w:t>
      </w:r>
    </w:p>
    <w:p w14:paraId="61A1DB5F">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（1）联合体各方应提交联合体协议，联合体协议应符合招标文件规定。</w:t>
      </w:r>
    </w:p>
    <w:p w14:paraId="482D8027">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（2）联合体各方不得再单独参加或与其他供应商另外组成联合体参加同一合同项下的投标。</w:t>
      </w:r>
    </w:p>
    <w:p w14:paraId="12FC684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（3）联合体各方应共同与采购人签订政府采购合同，就政府采购合同约定的事项对采购人承担连带责任。</w:t>
      </w:r>
    </w:p>
    <w:p w14:paraId="57B00DB3">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4、投标费用</w:t>
      </w:r>
    </w:p>
    <w:p w14:paraId="6DFD1E8A">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4.1除招标文件另有规定外，投标人应自行承担其参加本项目投标所涉及的一切费用。</w:t>
      </w:r>
    </w:p>
    <w:p w14:paraId="7F2F1287">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3AAD751B">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79B08165">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68B6A950">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4F80BDC1">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三、招标</w:t>
      </w:r>
    </w:p>
    <w:p w14:paraId="3D918F61">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5、招标文件</w:t>
      </w:r>
    </w:p>
    <w:p w14:paraId="55657750">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5.1招标文件由下述部分组成：</w:t>
      </w:r>
    </w:p>
    <w:p w14:paraId="2604E938">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（1）投标邀请</w:t>
      </w:r>
    </w:p>
    <w:p w14:paraId="58094A24">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（2）投标人须知前附表（表</w:t>
      </w:r>
      <w:r>
        <w:rPr>
          <w:rFonts w:hint="default" w:ascii="Calibri" w:hAnsi="Calibri" w:cs="Calibri"/>
          <w:spacing w:val="0"/>
          <w:sz w:val="24"/>
          <w:szCs w:val="24"/>
        </w:rPr>
        <w:t>1</w:t>
      </w:r>
      <w:r>
        <w:rPr>
          <w:rFonts w:hint="eastAsia" w:ascii="宋体" w:hAnsi="宋体" w:eastAsia="宋体" w:cs="宋体"/>
          <w:spacing w:val="0"/>
          <w:sz w:val="24"/>
          <w:szCs w:val="24"/>
        </w:rPr>
        <w:t>、</w:t>
      </w:r>
      <w:r>
        <w:rPr>
          <w:rFonts w:hint="default" w:ascii="Calibri" w:hAnsi="Calibri" w:cs="Calibri"/>
          <w:spacing w:val="0"/>
          <w:sz w:val="24"/>
          <w:szCs w:val="24"/>
        </w:rPr>
        <w:t>2</w:t>
      </w:r>
      <w:r>
        <w:rPr>
          <w:rFonts w:hint="eastAsia" w:ascii="宋体" w:hAnsi="宋体" w:eastAsia="宋体" w:cs="宋体"/>
          <w:spacing w:val="0"/>
          <w:sz w:val="24"/>
          <w:szCs w:val="24"/>
        </w:rPr>
        <w:t>）</w:t>
      </w:r>
    </w:p>
    <w:p w14:paraId="666DBD1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（3）投标人须知</w:t>
      </w:r>
    </w:p>
    <w:p w14:paraId="59268F09">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（4）资格审查与评标</w:t>
      </w:r>
    </w:p>
    <w:p w14:paraId="42656B0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（5）招标内容及要求</w:t>
      </w:r>
    </w:p>
    <w:p w14:paraId="4F44BE12">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（6）政府采购合同（参考文本）</w:t>
      </w:r>
    </w:p>
    <w:p w14:paraId="1D2A201C">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（7）投标文件格式</w:t>
      </w:r>
    </w:p>
    <w:p w14:paraId="273B6B5F">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（8）按照招标文件规定作为招标文件组成部分的其他内容（若有）</w:t>
      </w:r>
    </w:p>
    <w:p w14:paraId="18E497ED">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5.2招标文件的澄清或修改</w:t>
      </w:r>
    </w:p>
    <w:p w14:paraId="5CFA6989">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w:t>
      </w:r>
      <w:r>
        <w:rPr>
          <w:spacing w:val="0"/>
          <w:sz w:val="24"/>
          <w:szCs w:val="24"/>
          <w:u w:val="single"/>
        </w:rPr>
        <w:t>福建省顺鑫招标代理有限公司</w:t>
      </w:r>
      <w:r>
        <w:rPr>
          <w:rFonts w:hint="eastAsia" w:ascii="宋体" w:hAnsi="宋体" w:eastAsia="宋体" w:cs="宋体"/>
          <w:spacing w:val="0"/>
          <w:sz w:val="24"/>
          <w:szCs w:val="24"/>
        </w:rPr>
        <w:t>可对已发出的招标文件进行必要的澄清或修改，但不得对招标文件载明的采购标的和投标人的资格要求进行改变。</w:t>
      </w:r>
    </w:p>
    <w:p w14:paraId="78ADCACD">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（2）除本章第</w:t>
      </w:r>
      <w:r>
        <w:rPr>
          <w:rFonts w:hint="default" w:ascii="Calibri" w:hAnsi="Calibri" w:cs="Calibri"/>
          <w:spacing w:val="0"/>
          <w:sz w:val="24"/>
          <w:szCs w:val="24"/>
        </w:rPr>
        <w:t>5.2</w:t>
      </w:r>
      <w:r>
        <w:rPr>
          <w:rFonts w:hint="eastAsia" w:ascii="宋体" w:hAnsi="宋体" w:eastAsia="宋体" w:cs="宋体"/>
          <w:spacing w:val="0"/>
          <w:sz w:val="24"/>
          <w:szCs w:val="24"/>
        </w:rPr>
        <w:t>条第（</w:t>
      </w:r>
      <w:r>
        <w:rPr>
          <w:rFonts w:hint="default" w:ascii="Calibri" w:hAnsi="Calibri" w:cs="Calibri"/>
          <w:spacing w:val="0"/>
          <w:sz w:val="24"/>
          <w:szCs w:val="24"/>
        </w:rPr>
        <w:t>3</w:t>
      </w:r>
      <w:r>
        <w:rPr>
          <w:rFonts w:hint="eastAsia" w:ascii="宋体" w:hAnsi="宋体" w:eastAsia="宋体" w:cs="宋体"/>
          <w:spacing w:val="0"/>
          <w:sz w:val="24"/>
          <w:szCs w:val="24"/>
        </w:rPr>
        <w:t>）款规定情形外，澄清或修改的内容可能影响投标文件编制的，</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将在投标截止时间至少15个日历日前，在招标文件载明的指定媒体以更正公告的形式发布澄清或修改的内容。不足</w:t>
      </w:r>
      <w:r>
        <w:rPr>
          <w:rFonts w:hint="default" w:ascii="Calibri" w:hAnsi="Calibri" w:cs="Calibri"/>
          <w:spacing w:val="0"/>
          <w:sz w:val="24"/>
          <w:szCs w:val="24"/>
        </w:rPr>
        <w:t>15</w:t>
      </w:r>
      <w:r>
        <w:rPr>
          <w:rFonts w:hint="eastAsia" w:ascii="宋体" w:hAnsi="宋体" w:eastAsia="宋体" w:cs="宋体"/>
          <w:spacing w:val="0"/>
          <w:sz w:val="24"/>
          <w:szCs w:val="24"/>
        </w:rPr>
        <w:t>个日历日的，</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将顺延投标截止时间及开标时间，</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和投标人受原投标截止时间及开标时间制约的所有权利和义务均延长至新的投标截止时间及开标时间。</w:t>
      </w:r>
    </w:p>
    <w:p w14:paraId="6E17B623">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（3）澄清或修改的内容可能改变招标文件载明的采购标的和投标人的资格要求的，本次采购活动结束，</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将依法组织后续采购活动（包括但不限于：重新招标、采用其他方式采购等）。</w:t>
      </w:r>
    </w:p>
    <w:p w14:paraId="6148C36D">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6、现场考察或开标前答疑会</w:t>
      </w:r>
    </w:p>
    <w:p w14:paraId="03DE49E2">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6.1是否组织现场考察或召开开标前答疑会：详见招标文件第二章。</w:t>
      </w:r>
    </w:p>
    <w:p w14:paraId="333993C0">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7、更正公告</w:t>
      </w:r>
    </w:p>
    <w:p w14:paraId="2D9107B0">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7.1若</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发布更正公告，则更正公告及其所发布的内容或信息（包括但不限于：招标文件的澄清或修改、现场考察或答疑会的有关事宜等）</w:t>
      </w:r>
      <w:r>
        <w:rPr>
          <w:rStyle w:val="8"/>
          <w:rFonts w:hint="eastAsia" w:ascii="宋体" w:hAnsi="宋体" w:eastAsia="宋体" w:cs="宋体"/>
          <w:b/>
          <w:spacing w:val="0"/>
          <w:sz w:val="24"/>
          <w:szCs w:val="24"/>
        </w:rPr>
        <w:t>作为招标文件组成部分</w:t>
      </w:r>
      <w:r>
        <w:rPr>
          <w:rFonts w:hint="eastAsia" w:ascii="宋体" w:hAnsi="宋体" w:eastAsia="宋体" w:cs="宋体"/>
          <w:spacing w:val="0"/>
          <w:sz w:val="24"/>
          <w:szCs w:val="24"/>
        </w:rPr>
        <w:t>，对投标人具有约束力。</w:t>
      </w:r>
    </w:p>
    <w:p w14:paraId="7C1479B4">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7.2更正公告作为</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通知所有潜在投标人的书面形式。</w:t>
      </w:r>
    </w:p>
    <w:p w14:paraId="39C11126">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8、终止公告</w:t>
      </w:r>
    </w:p>
    <w:p w14:paraId="38433EFC">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8.1若出现因重大变故导致采购任务取消情形，</w:t>
      </w:r>
      <w:r>
        <w:rPr>
          <w:rFonts w:hint="eastAsia" w:ascii="宋体" w:hAnsi="宋体" w:eastAsia="宋体" w:cs="宋体"/>
          <w:spacing w:val="0"/>
          <w:sz w:val="24"/>
          <w:szCs w:val="24"/>
          <w:u w:val="none"/>
        </w:rPr>
        <w:t>福建省顺鑫招标代理有限公司可终止招标并发布终止公告。</w:t>
      </w:r>
    </w:p>
    <w:p w14:paraId="063DBE75">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u w:val="none"/>
        </w:rPr>
        <w:t>8.2终止公告作为福建省顺鑫招标代理有限公司</w:t>
      </w:r>
      <w:r>
        <w:rPr>
          <w:rFonts w:hint="eastAsia" w:ascii="宋体" w:hAnsi="宋体" w:eastAsia="宋体" w:cs="宋体"/>
          <w:spacing w:val="0"/>
          <w:sz w:val="24"/>
          <w:szCs w:val="24"/>
        </w:rPr>
        <w:t>通知所有潜在投标人的书面形式。</w:t>
      </w:r>
    </w:p>
    <w:p w14:paraId="72A9525F">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3E374E0B">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5F4BDCC8">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四、投标</w:t>
      </w:r>
    </w:p>
    <w:p w14:paraId="1BAD3BB0">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9、投标</w:t>
      </w:r>
    </w:p>
    <w:p w14:paraId="3E06E923">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9.1投标人可对招标文件载明的全部或部分合同包进行投标。</w:t>
      </w:r>
    </w:p>
    <w:p w14:paraId="0097B911">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9.2投标人应对同一个合同包内的所有内容进行完整投标，否则</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14:paraId="25774382">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9.3投标人代表只能接受一个投标人的授权参加投标，否则</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14:paraId="09FD5AAA">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9.4单位负责人为同一人或存在直接控股、管理关系的不同供应商，不得同时参加同一合同项下的投标，否则</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14:paraId="6D2E78E9">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9.5为本项目提供整体设计、规范编制或项目管理、监理、检测等服务的供应商，不得参加本项目除整体设计、规范编制和项目管理、监理、检测等服务外的采购活动，否则</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14:paraId="43F02715">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9.6列入失信被执行人、重大税收违法案件当事人名单、政府采购严重违法失信行为记录名单及其他不符合政府采购法第二十二条规定条件的供应商，不得参加投标，否则</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14:paraId="709EEFFE">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9.7有下列情形之一的，视为投标人串通投标，</w:t>
      </w:r>
      <w:r>
        <w:rPr>
          <w:rStyle w:val="8"/>
          <w:rFonts w:hint="eastAsia" w:ascii="宋体" w:hAnsi="宋体" w:eastAsia="宋体" w:cs="宋体"/>
          <w:b/>
          <w:spacing w:val="0"/>
          <w:sz w:val="24"/>
          <w:szCs w:val="24"/>
        </w:rPr>
        <w:t>其投标无效：</w:t>
      </w:r>
    </w:p>
    <w:p w14:paraId="2408AEF9">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（1）不同投标人的投标文件由同一单位或个人编制；</w:t>
      </w:r>
    </w:p>
    <w:p w14:paraId="204C062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（2）不同投标人委托同一单位或个人办理投标事宜；</w:t>
      </w:r>
    </w:p>
    <w:p w14:paraId="7CD9EB78">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（3）不同投标人的投标文件载明的项目管理成员或联系人员为同一人；</w:t>
      </w:r>
    </w:p>
    <w:p w14:paraId="68B38144">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（4）不同投标人的投标文件异常一致或投标报价呈规律性差异；</w:t>
      </w:r>
    </w:p>
    <w:p w14:paraId="2F8A3697">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（5）不同投标人的投标文件相互混装；</w:t>
      </w:r>
    </w:p>
    <w:p w14:paraId="3616E658">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（6）不同投标人的投标保证金从同一单位或个人的账户转出；</w:t>
      </w:r>
    </w:p>
    <w:p w14:paraId="3D2CB266">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（7）有关法律、法规和规章及招标文件规定的其他串通投标情形。</w:t>
      </w:r>
    </w:p>
    <w:p w14:paraId="257FF67E">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10、投标文件</w:t>
      </w:r>
    </w:p>
    <w:p w14:paraId="256AD5AC">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10.1投标文件的编制</w:t>
      </w:r>
    </w:p>
    <w:p w14:paraId="190B68C7">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（1）投标人应先仔细阅读招标文件的全部内容后，再进行投标文件的编制。</w:t>
      </w:r>
    </w:p>
    <w:p w14:paraId="4944C0F0">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（2）投标文件应按照本章第</w:t>
      </w:r>
      <w:r>
        <w:rPr>
          <w:rFonts w:hint="default" w:ascii="Calibri" w:hAnsi="Calibri" w:cs="Calibri"/>
          <w:spacing w:val="0"/>
          <w:sz w:val="24"/>
          <w:szCs w:val="24"/>
        </w:rPr>
        <w:t>10.2</w:t>
      </w:r>
      <w:r>
        <w:rPr>
          <w:rFonts w:hint="eastAsia" w:ascii="宋体" w:hAnsi="宋体" w:eastAsia="宋体" w:cs="宋体"/>
          <w:spacing w:val="0"/>
          <w:sz w:val="24"/>
          <w:szCs w:val="24"/>
        </w:rPr>
        <w:t>条规定编制其组成部分。</w:t>
      </w:r>
    </w:p>
    <w:p w14:paraId="0076834F">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（3）投标文件应满足招标文件提出的实质性要求和条件，并保证其所提交的全部资料是不可割离且真实、有效、准确、完整和不具有任何误导性的，否则造成不利后果由投标人承担责任。</w:t>
      </w:r>
    </w:p>
    <w:p w14:paraId="7C31FDDB">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10.2投标文件由下述部分组成：</w:t>
      </w:r>
    </w:p>
    <w:p w14:paraId="62703637">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（1）资格及资信证明部分</w:t>
      </w:r>
    </w:p>
    <w:p w14:paraId="7586821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①投标函</w:t>
      </w:r>
    </w:p>
    <w:p w14:paraId="0152563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②投标人的资格及资信证明文件</w:t>
      </w:r>
    </w:p>
    <w:p w14:paraId="4F25D78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③投标保证金</w:t>
      </w:r>
    </w:p>
    <w:p w14:paraId="3CF83A68">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（2）报价部分</w:t>
      </w:r>
    </w:p>
    <w:p w14:paraId="7CF5888F">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①开标一览表</w:t>
      </w:r>
    </w:p>
    <w:p w14:paraId="69FB4BDC">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②投标分项报价表</w:t>
      </w:r>
    </w:p>
    <w:p w14:paraId="03130F4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③招标文件规定的价格扣除证明材料（若有）</w:t>
      </w:r>
    </w:p>
    <w:p w14:paraId="1084EE55">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④招标文件规定的加分证明材料（若有）</w:t>
      </w:r>
    </w:p>
    <w:p w14:paraId="6789E78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（3）技术商务部分</w:t>
      </w:r>
    </w:p>
    <w:p w14:paraId="4FC18A8F">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①标的说明一览表</w:t>
      </w:r>
    </w:p>
    <w:p w14:paraId="0DB349BA">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②技术和服务要求响应表</w:t>
      </w:r>
    </w:p>
    <w:p w14:paraId="5BBAE31F">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③商务条件响应表</w:t>
      </w:r>
    </w:p>
    <w:p w14:paraId="56C4242A">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④投标人提交的其他资料（若有）</w:t>
      </w:r>
    </w:p>
    <w:p w14:paraId="0BA12C4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⑤招标文件规定作为投标文件组成部分的其他内容（若有）</w:t>
      </w:r>
    </w:p>
    <w:p w14:paraId="38AD046A">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10.3投标文件的语言</w:t>
      </w:r>
    </w:p>
    <w:p w14:paraId="67B0AE68">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（1）除招标文件另有规定外，投标文件应使用中文文本，若有不同文本，以中文文本为准。</w:t>
      </w:r>
    </w:p>
    <w:p w14:paraId="009C889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14:paraId="51999C0A">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10.4投标文件的份数：详见招标文件第二章。</w:t>
      </w:r>
    </w:p>
    <w:p w14:paraId="411BE4B2">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10.5投标文件的格式</w:t>
      </w:r>
    </w:p>
    <w:p w14:paraId="591C5FD2">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（1）除招标文件另有规定外，投标文件应使用招标文件第七章规定的格式。</w:t>
      </w:r>
    </w:p>
    <w:p w14:paraId="1F489C1A">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（2）除招标文件另有规定外，投标文件的正本和全部副本均应使用不能擦去的墨料或墨水打印、书写或复印，其中：</w:t>
      </w:r>
    </w:p>
    <w:p w14:paraId="0E382648">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①正本应用</w:t>
      </w:r>
      <w:r>
        <w:rPr>
          <w:rFonts w:hint="default" w:ascii="Calibri" w:hAnsi="Calibri" w:cs="Calibri"/>
          <w:spacing w:val="0"/>
          <w:sz w:val="24"/>
          <w:szCs w:val="24"/>
        </w:rPr>
        <w:t>A4</w:t>
      </w:r>
      <w:r>
        <w:rPr>
          <w:rFonts w:hint="eastAsia" w:ascii="宋体" w:hAnsi="宋体" w:eastAsia="宋体" w:cs="宋体"/>
          <w:spacing w:val="0"/>
          <w:sz w:val="24"/>
          <w:szCs w:val="24"/>
        </w:rPr>
        <w:t>幅面纸张打印装订，编制封面（封面标明“正本”字样）、索引、页码，并用胶装装订成册。</w:t>
      </w:r>
    </w:p>
    <w:p w14:paraId="2C1D4AA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②副本应用</w:t>
      </w:r>
      <w:r>
        <w:rPr>
          <w:rFonts w:hint="default" w:ascii="Calibri" w:hAnsi="Calibri" w:cs="Calibri"/>
          <w:spacing w:val="0"/>
          <w:sz w:val="24"/>
          <w:szCs w:val="24"/>
        </w:rPr>
        <w:t>A4</w:t>
      </w:r>
      <w:r>
        <w:rPr>
          <w:rFonts w:hint="eastAsia" w:ascii="宋体" w:hAnsi="宋体" w:eastAsia="宋体" w:cs="宋体"/>
          <w:spacing w:val="0"/>
          <w:sz w:val="24"/>
          <w:szCs w:val="24"/>
        </w:rPr>
        <w:t>幅面纸张打印装订，编制封面（封面标明“副本”字样）、索引、页码，并用胶装装订成册；副本可用正本的完整复印件，并与正本保持一致（若不一致，以正本为准）。</w:t>
      </w:r>
    </w:p>
    <w:p w14:paraId="13A6DB78">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③允许散装或活页装订的内容或材料：详见招标文件第二章。</w:t>
      </w:r>
    </w:p>
    <w:p w14:paraId="639B2F2A">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※除本章第</w:t>
      </w:r>
      <w:r>
        <w:rPr>
          <w:rStyle w:val="8"/>
          <w:rFonts w:hint="default" w:ascii="Calibri" w:hAnsi="Calibri" w:cs="Calibri"/>
          <w:b/>
          <w:spacing w:val="0"/>
          <w:sz w:val="24"/>
          <w:szCs w:val="24"/>
        </w:rPr>
        <w:t>10.5</w:t>
      </w:r>
      <w:r>
        <w:rPr>
          <w:rStyle w:val="8"/>
          <w:rFonts w:hint="eastAsia" w:ascii="宋体" w:hAnsi="宋体" w:eastAsia="宋体" w:cs="宋体"/>
          <w:b/>
          <w:spacing w:val="0"/>
          <w:sz w:val="24"/>
          <w:szCs w:val="24"/>
        </w:rPr>
        <w:t>条第（</w:t>
      </w:r>
      <w:r>
        <w:rPr>
          <w:rStyle w:val="8"/>
          <w:rFonts w:hint="default" w:ascii="Calibri" w:hAnsi="Calibri" w:cs="Calibri"/>
          <w:b/>
          <w:spacing w:val="0"/>
          <w:sz w:val="24"/>
          <w:szCs w:val="24"/>
        </w:rPr>
        <w:t>2</w:t>
      </w:r>
      <w:r>
        <w:rPr>
          <w:rStyle w:val="8"/>
          <w:rFonts w:hint="eastAsia" w:ascii="宋体" w:hAnsi="宋体" w:eastAsia="宋体" w:cs="宋体"/>
          <w:b/>
          <w:spacing w:val="0"/>
          <w:sz w:val="24"/>
          <w:szCs w:val="24"/>
        </w:rPr>
        <w:t>）款第③点规定情形外，投标文件散装或活页装订将导致投标无效。</w:t>
      </w:r>
    </w:p>
    <w:p w14:paraId="68DFA01A">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（3）除招标文件另有规定外，投标文件应使用人民币作为计量货币。</w:t>
      </w:r>
    </w:p>
    <w:p w14:paraId="05A3B506">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（4）除招标文件另有规定外，签署、盖章应遵守下列规定：</w:t>
      </w:r>
    </w:p>
    <w:p w14:paraId="3AB61C50">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①投标文件应由投标人代表签字并加盖投标人的单位公章。若投标人代表为单位负责人授权的委托代理人，应提供“单位负责人授权书”。</w:t>
      </w:r>
    </w:p>
    <w:p w14:paraId="315CA99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②投标文件应没有涂改或行间插字，除非这些改动是根据</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的指示进行的，或是为改正投标人造成的应修改的错误而进行的。若有前述改动，应按照下列规定之一对改动处进行处理：</w:t>
      </w:r>
    </w:p>
    <w:p w14:paraId="32400633">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a.投标人代表签字确认；</w:t>
      </w:r>
    </w:p>
    <w:p w14:paraId="6D1A7878">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b.加盖投标人的单位公章或校正章。</w:t>
      </w:r>
    </w:p>
    <w:p w14:paraId="2DD17531">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10.6投标报价</w:t>
      </w:r>
    </w:p>
    <w:p w14:paraId="53E3574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（1）投标报价超出最高限价将导致</w:t>
      </w:r>
      <w:r>
        <w:rPr>
          <w:rStyle w:val="8"/>
          <w:rFonts w:hint="eastAsia" w:ascii="宋体" w:hAnsi="宋体" w:eastAsia="宋体" w:cs="宋体"/>
          <w:b/>
          <w:spacing w:val="0"/>
          <w:sz w:val="24"/>
          <w:szCs w:val="24"/>
        </w:rPr>
        <w:t>投标无效。</w:t>
      </w:r>
    </w:p>
    <w:p w14:paraId="274E8426">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（2）最高限价由采购人根据价格测算情况，在预算金额的额度内合理设定。最高限价不得超出预算金额。</w:t>
      </w:r>
    </w:p>
    <w:p w14:paraId="331350B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（3）除招标文件另有规定外，投标文件不能出现任何选择性的投标报价，即每一个合同包和品目号的采购标的都只能有一个投标报价。任何选择性的投标报价将导致</w:t>
      </w:r>
      <w:r>
        <w:rPr>
          <w:rStyle w:val="8"/>
          <w:rFonts w:hint="eastAsia" w:ascii="宋体" w:hAnsi="宋体" w:eastAsia="宋体" w:cs="宋体"/>
          <w:b/>
          <w:spacing w:val="0"/>
          <w:sz w:val="24"/>
          <w:szCs w:val="24"/>
        </w:rPr>
        <w:t>投标无效。</w:t>
      </w:r>
    </w:p>
    <w:p w14:paraId="4D1B7B83">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10.7分包</w:t>
      </w:r>
    </w:p>
    <w:p w14:paraId="33E34326">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（1）是否允许中标人将本项目的非主体、非关键性工作进行分包：详见招标文件第二章。</w:t>
      </w:r>
    </w:p>
    <w:p w14:paraId="5D70E16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（2）若允许中标人将本项目的非主体、非关键性工作进行分包且投标人拟在中标后进行分包，则投标人应在投标文件中载明分包承担主体，分包承担主体应具备相应资质条件（若有）且不得再次分包。</w:t>
      </w:r>
    </w:p>
    <w:p w14:paraId="3FF4429C">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（3）招标文件允许中标人将非主体、非关键性工作进行分包的项目，有下列情形之一的，中标人不得分包：</w:t>
      </w:r>
    </w:p>
    <w:p w14:paraId="21077B4D">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①投标文件中未载明分包承担主体；</w:t>
      </w:r>
    </w:p>
    <w:p w14:paraId="29D4680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②投标文件载明的分包承担主体不具备相应资质条件；</w:t>
      </w:r>
    </w:p>
    <w:p w14:paraId="22719496">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③投标文件载明的分包承担主体拟再次分包。</w:t>
      </w:r>
    </w:p>
    <w:p w14:paraId="567D3F3E">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10.8投标有效期</w:t>
      </w:r>
    </w:p>
    <w:p w14:paraId="472E1119">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（1）招标文件载明的投标有效期：详见招标文件第二章。</w:t>
      </w:r>
    </w:p>
    <w:p w14:paraId="1D0EFA24">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（2）投标文件承诺的投标有效期不得少于招标文件载明的投标有效期，否则</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14:paraId="696F77C7">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（3）根据本次采购活动的需要，</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可于投标有效期届满之前书面要求投标人延长投标有效期，投标人应在</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规定的期限内以书面形式予以答复。对于延长投标有效期的要求，投标人可以拒绝也可以接受，投标人答复不明确或逾期未答复的，均视为拒绝该要求。对于接受延长投标有效期的投标人，既不要求也不允许修改投标文件。</w:t>
      </w:r>
    </w:p>
    <w:p w14:paraId="1E518055">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10.9投标保证金</w:t>
      </w:r>
    </w:p>
    <w:p w14:paraId="2C37E7A3">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（1）投标保证金作为投标人按照招标文件规定履行相应投标责任、义务的约束及担保。</w:t>
      </w:r>
    </w:p>
    <w:p w14:paraId="5BE6E55A">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（2）投标保证金的有效期应与投标文件承诺的投标有效期保持一致，否则</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14:paraId="235460A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（3）提交</w:t>
      </w:r>
    </w:p>
    <w:p w14:paraId="650EB81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①投标人应从其银行账户</w:t>
      </w:r>
      <w:r>
        <w:rPr>
          <w:rStyle w:val="8"/>
          <w:rFonts w:hint="eastAsia" w:ascii="宋体" w:hAnsi="宋体" w:eastAsia="宋体" w:cs="宋体"/>
          <w:b/>
          <w:spacing w:val="0"/>
          <w:sz w:val="24"/>
          <w:szCs w:val="24"/>
        </w:rPr>
        <w:t>（基本存款账户）</w:t>
      </w:r>
      <w:r>
        <w:rPr>
          <w:rFonts w:hint="eastAsia" w:ascii="宋体" w:hAnsi="宋体" w:eastAsia="宋体" w:cs="宋体"/>
          <w:spacing w:val="0"/>
          <w:sz w:val="24"/>
          <w:szCs w:val="24"/>
        </w:rPr>
        <w:t>按照下列方式：</w:t>
      </w:r>
      <w:r>
        <w:rPr>
          <w:rStyle w:val="8"/>
          <w:rFonts w:hint="eastAsia" w:ascii="宋体" w:hAnsi="宋体" w:eastAsia="宋体" w:cs="宋体"/>
          <w:b/>
          <w:spacing w:val="0"/>
          <w:sz w:val="24"/>
          <w:szCs w:val="24"/>
        </w:rPr>
        <w:t>公对公转账方式</w:t>
      </w:r>
      <w:r>
        <w:rPr>
          <w:rFonts w:hint="eastAsia" w:ascii="宋体" w:hAnsi="宋体" w:eastAsia="宋体" w:cs="宋体"/>
          <w:spacing w:val="0"/>
          <w:sz w:val="24"/>
          <w:szCs w:val="24"/>
        </w:rPr>
        <w:t>向招标文件载明的投标保证金账户提交投标保证金，具体金额详见招标文件第一章。</w:t>
      </w:r>
    </w:p>
    <w:p w14:paraId="0F0405B3">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②投标保证金应于投标截止时间前到达招标文件载明的投标保证金账户，否则视为投标保证金未提交；是否到达按照下列方式认定：</w:t>
      </w:r>
      <w:r>
        <w:rPr>
          <w:rStyle w:val="8"/>
          <w:rFonts w:hint="eastAsia" w:ascii="宋体" w:hAnsi="宋体" w:eastAsia="宋体" w:cs="宋体"/>
          <w:b/>
          <w:spacing w:val="0"/>
          <w:sz w:val="24"/>
          <w:szCs w:val="24"/>
        </w:rPr>
        <w:t>以福建省政府采购网上公开信息系统记载的为准。</w:t>
      </w:r>
    </w:p>
    <w:p w14:paraId="0A9605E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③若本项目接受联合体投标且投标人为联合体，则联合体中的牵头方应按照本章第</w:t>
      </w:r>
      <w:r>
        <w:rPr>
          <w:rFonts w:hint="default" w:ascii="Calibri" w:hAnsi="Calibri" w:cs="Calibri"/>
          <w:spacing w:val="0"/>
          <w:sz w:val="24"/>
          <w:szCs w:val="24"/>
        </w:rPr>
        <w:t>10.9</w:t>
      </w:r>
      <w:r>
        <w:rPr>
          <w:rFonts w:hint="eastAsia" w:ascii="宋体" w:hAnsi="宋体" w:eastAsia="宋体" w:cs="宋体"/>
          <w:spacing w:val="0"/>
          <w:sz w:val="24"/>
          <w:szCs w:val="24"/>
        </w:rPr>
        <w:t>条第（</w:t>
      </w:r>
      <w:r>
        <w:rPr>
          <w:rFonts w:hint="default" w:ascii="Calibri" w:hAnsi="Calibri" w:cs="Calibri"/>
          <w:spacing w:val="0"/>
          <w:sz w:val="24"/>
          <w:szCs w:val="24"/>
        </w:rPr>
        <w:t>3</w:t>
      </w:r>
      <w:r>
        <w:rPr>
          <w:rFonts w:hint="eastAsia" w:ascii="宋体" w:hAnsi="宋体" w:eastAsia="宋体" w:cs="宋体"/>
          <w:spacing w:val="0"/>
          <w:sz w:val="24"/>
          <w:szCs w:val="24"/>
        </w:rPr>
        <w:t>）款第①、②点规定提交投标保证金。</w:t>
      </w:r>
    </w:p>
    <w:p w14:paraId="7012BDEA">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※除招标文件另有规定外，未按照上述规定提交投标保证金将导致资格审查不合格。</w:t>
      </w:r>
    </w:p>
    <w:p w14:paraId="035A99B2">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（4）退还</w:t>
      </w:r>
    </w:p>
    <w:p w14:paraId="393E3567">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①在投标截止时间前撤回已提交的投标文件的投标人，其投标保证金将在</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收到投标人书面撤回通知之日起5个工作日内退回原账户。</w:t>
      </w:r>
    </w:p>
    <w:p w14:paraId="63E8F3D6">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②未中标人的投标保证金将在中标通知书发出之日起</w:t>
      </w:r>
      <w:r>
        <w:rPr>
          <w:rFonts w:hint="default" w:ascii="Calibri" w:hAnsi="Calibri" w:cs="Calibri"/>
          <w:spacing w:val="0"/>
          <w:sz w:val="24"/>
          <w:szCs w:val="24"/>
        </w:rPr>
        <w:t>5</w:t>
      </w:r>
      <w:r>
        <w:rPr>
          <w:rFonts w:hint="eastAsia" w:ascii="宋体" w:hAnsi="宋体" w:eastAsia="宋体" w:cs="宋体"/>
          <w:spacing w:val="0"/>
          <w:sz w:val="24"/>
          <w:szCs w:val="24"/>
        </w:rPr>
        <w:t>个工作日内退回原账户。</w:t>
      </w:r>
    </w:p>
    <w:p w14:paraId="4DB53B6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③中标人的投标保证金将在政府采购合同签订之日起</w:t>
      </w:r>
      <w:r>
        <w:rPr>
          <w:rFonts w:hint="default" w:ascii="Calibri" w:hAnsi="Calibri" w:cs="Calibri"/>
          <w:spacing w:val="0"/>
          <w:sz w:val="24"/>
          <w:szCs w:val="24"/>
        </w:rPr>
        <w:t>5</w:t>
      </w:r>
      <w:r>
        <w:rPr>
          <w:rFonts w:hint="eastAsia" w:ascii="宋体" w:hAnsi="宋体" w:eastAsia="宋体" w:cs="宋体"/>
          <w:spacing w:val="0"/>
          <w:sz w:val="24"/>
          <w:szCs w:val="24"/>
        </w:rPr>
        <w:t>个工作日内退回原账户；合同签订之日按照下列方式认定：</w:t>
      </w:r>
      <w:r>
        <w:rPr>
          <w:rStyle w:val="8"/>
          <w:rFonts w:hint="eastAsia" w:ascii="宋体" w:hAnsi="宋体" w:eastAsia="宋体" w:cs="宋体"/>
          <w:b/>
          <w:spacing w:val="0"/>
          <w:sz w:val="24"/>
          <w:szCs w:val="24"/>
        </w:rPr>
        <w:t>以福建省政府采购网上公开信息系统记载的为准。</w:t>
      </w:r>
    </w:p>
    <w:p w14:paraId="140BE99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④终止招标的，</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将在终止公告发布之日起5个工作日内退回已收取的投标保证金及其在银行产生的孳息。</w:t>
      </w:r>
    </w:p>
    <w:p w14:paraId="0B8E9F32">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⑤除招标文件另有规定外，质疑或投诉涉及的投标人，若投标保证金尚未退还，则待质疑或投诉处理完毕后不计利息原额退还。</w:t>
      </w:r>
    </w:p>
    <w:p w14:paraId="44661EAF">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※本章第</w:t>
      </w:r>
      <w:r>
        <w:rPr>
          <w:rStyle w:val="8"/>
          <w:rFonts w:hint="default" w:ascii="Calibri" w:hAnsi="Calibri" w:cs="Calibri"/>
          <w:b/>
          <w:spacing w:val="0"/>
          <w:sz w:val="24"/>
          <w:szCs w:val="24"/>
        </w:rPr>
        <w:t>10.9</w:t>
      </w:r>
      <w:r>
        <w:rPr>
          <w:rStyle w:val="8"/>
          <w:rFonts w:hint="eastAsia" w:ascii="宋体" w:hAnsi="宋体" w:eastAsia="宋体" w:cs="宋体"/>
          <w:b/>
          <w:spacing w:val="0"/>
          <w:sz w:val="24"/>
          <w:szCs w:val="24"/>
        </w:rPr>
        <w:t>条第（</w:t>
      </w:r>
      <w:r>
        <w:rPr>
          <w:rStyle w:val="8"/>
          <w:rFonts w:hint="default" w:ascii="Calibri" w:hAnsi="Calibri" w:cs="Calibri"/>
          <w:b/>
          <w:spacing w:val="0"/>
          <w:sz w:val="24"/>
          <w:szCs w:val="24"/>
        </w:rPr>
        <w:t>4</w:t>
      </w:r>
      <w:r>
        <w:rPr>
          <w:rStyle w:val="8"/>
          <w:rFonts w:hint="eastAsia" w:ascii="宋体" w:hAnsi="宋体" w:eastAsia="宋体" w:cs="宋体"/>
          <w:b/>
          <w:spacing w:val="0"/>
          <w:sz w:val="24"/>
          <w:szCs w:val="24"/>
        </w:rPr>
        <w:t>）款第①、②、③点规定的投标保证金退还时限不包括因投标人自身原因导致无法及时退还而增加的时间。</w:t>
      </w:r>
    </w:p>
    <w:p w14:paraId="4276BDF7">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（5）若出现本章第</w:t>
      </w:r>
      <w:r>
        <w:rPr>
          <w:rFonts w:hint="default" w:ascii="Calibri" w:hAnsi="Calibri" w:cs="Calibri"/>
          <w:spacing w:val="0"/>
          <w:sz w:val="24"/>
          <w:szCs w:val="24"/>
        </w:rPr>
        <w:t>10.8</w:t>
      </w:r>
      <w:r>
        <w:rPr>
          <w:rFonts w:hint="eastAsia" w:ascii="宋体" w:hAnsi="宋体" w:eastAsia="宋体" w:cs="宋体"/>
          <w:spacing w:val="0"/>
          <w:sz w:val="24"/>
          <w:szCs w:val="24"/>
        </w:rPr>
        <w:t>条第（</w:t>
      </w:r>
      <w:r>
        <w:rPr>
          <w:rFonts w:hint="default" w:ascii="Calibri" w:hAnsi="Calibri" w:cs="Calibri"/>
          <w:spacing w:val="0"/>
          <w:sz w:val="24"/>
          <w:szCs w:val="24"/>
        </w:rPr>
        <w:t>3</w:t>
      </w:r>
      <w:r>
        <w:rPr>
          <w:rFonts w:hint="eastAsia" w:ascii="宋体" w:hAnsi="宋体" w:eastAsia="宋体" w:cs="宋体"/>
          <w:spacing w:val="0"/>
          <w:sz w:val="24"/>
          <w:szCs w:val="24"/>
        </w:rPr>
        <w:t>）款规定情形，对于拒绝延长投标有效期的投标人，投标保证金仍可退还。对于接受延长投标有效期的投标人，相应延长投标保证金有效期，招标文件关于退还和不予退还投标保证金的规定继续适用。</w:t>
      </w:r>
    </w:p>
    <w:p w14:paraId="27B7A7F6">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（6）有下列情形之一的，投标保证金将不予退还：</w:t>
      </w:r>
    </w:p>
    <w:p w14:paraId="507F1FE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①投标人串通投标；</w:t>
      </w:r>
    </w:p>
    <w:p w14:paraId="2E4F1FCC">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②投标人提供虚假材料；</w:t>
      </w:r>
    </w:p>
    <w:p w14:paraId="46190156">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③投标人采取不正当手段诋毁、排挤其他投标人；</w:t>
      </w:r>
    </w:p>
    <w:p w14:paraId="6AA1C97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④投标截止时间后，投标人在投标有效期内撤销投标文件；</w:t>
      </w:r>
    </w:p>
    <w:p w14:paraId="25EFC186">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⑤投标人不接受评标委员会按照招标文件规定对投标报价错误之处进行修正；</w:t>
      </w:r>
    </w:p>
    <w:p w14:paraId="3409B3D6">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⑥投标人违反招标文件第三章第</w:t>
      </w:r>
      <w:r>
        <w:rPr>
          <w:rFonts w:hint="default" w:ascii="Calibri" w:hAnsi="Calibri" w:cs="Calibri"/>
          <w:spacing w:val="0"/>
          <w:sz w:val="24"/>
          <w:szCs w:val="24"/>
        </w:rPr>
        <w:t>9.4</w:t>
      </w:r>
      <w:r>
        <w:rPr>
          <w:rFonts w:hint="eastAsia" w:ascii="宋体" w:hAnsi="宋体" w:eastAsia="宋体" w:cs="宋体"/>
          <w:spacing w:val="0"/>
          <w:sz w:val="24"/>
          <w:szCs w:val="24"/>
        </w:rPr>
        <w:t>、</w:t>
      </w:r>
      <w:r>
        <w:rPr>
          <w:rFonts w:hint="default" w:ascii="Calibri" w:hAnsi="Calibri" w:cs="Calibri"/>
          <w:spacing w:val="0"/>
          <w:sz w:val="24"/>
          <w:szCs w:val="24"/>
        </w:rPr>
        <w:t>9.5</w:t>
      </w:r>
      <w:r>
        <w:rPr>
          <w:rFonts w:hint="eastAsia" w:ascii="宋体" w:hAnsi="宋体" w:eastAsia="宋体" w:cs="宋体"/>
          <w:spacing w:val="0"/>
          <w:sz w:val="24"/>
          <w:szCs w:val="24"/>
        </w:rPr>
        <w:t>、</w:t>
      </w:r>
      <w:r>
        <w:rPr>
          <w:rFonts w:hint="default" w:ascii="Calibri" w:hAnsi="Calibri" w:cs="Calibri"/>
          <w:spacing w:val="0"/>
          <w:sz w:val="24"/>
          <w:szCs w:val="24"/>
        </w:rPr>
        <w:t>9.6</w:t>
      </w:r>
      <w:r>
        <w:rPr>
          <w:rFonts w:hint="eastAsia" w:ascii="宋体" w:hAnsi="宋体" w:eastAsia="宋体" w:cs="宋体"/>
          <w:spacing w:val="0"/>
          <w:sz w:val="24"/>
          <w:szCs w:val="24"/>
        </w:rPr>
        <w:t>条规定之一；</w:t>
      </w:r>
    </w:p>
    <w:p w14:paraId="23B7E204">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⑦招标文件规定的其他不予退还情形；</w:t>
      </w:r>
    </w:p>
    <w:p w14:paraId="15724C3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⑧中标人有下列情形之一的：</w:t>
      </w:r>
    </w:p>
    <w:p w14:paraId="426D3119">
      <w:pPr>
        <w:pStyle w:val="5"/>
        <w:keepNext w:val="0"/>
        <w:keepLines w:val="0"/>
        <w:widowControl/>
        <w:suppressLineNumbers w:val="0"/>
        <w:spacing w:before="75" w:beforeAutospacing="0" w:after="75" w:afterAutospacing="0"/>
        <w:ind w:left="0" w:right="0" w:firstLine="480"/>
      </w:pPr>
      <w:r>
        <w:rPr>
          <w:rFonts w:hint="default" w:ascii="Calibri" w:hAnsi="Calibri" w:cs="Calibri"/>
          <w:spacing w:val="0"/>
          <w:sz w:val="24"/>
          <w:szCs w:val="24"/>
        </w:rPr>
        <w:t>a</w:t>
      </w:r>
      <w:r>
        <w:rPr>
          <w:rFonts w:hint="eastAsia" w:ascii="宋体" w:hAnsi="宋体" w:eastAsia="宋体" w:cs="宋体"/>
          <w:spacing w:val="0"/>
          <w:sz w:val="24"/>
          <w:szCs w:val="24"/>
        </w:rPr>
        <w:t>.除不可抗力外，因中标人自身原因未在中标通知书要求的期限内与采购人签订政府采购合同；</w:t>
      </w:r>
    </w:p>
    <w:p w14:paraId="4323BEC7">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b.未按照招标文件、投标文件的约定签订政府采购合同或提交履约保证金。</w:t>
      </w:r>
    </w:p>
    <w:p w14:paraId="25FBF8D6">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※若上述投标保证金不予退还情形给采购人（采购代理机构）造成损失，则投标人还要承担相应的赔偿责任。</w:t>
      </w:r>
    </w:p>
    <w:p w14:paraId="618A103F">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10.10投标文件的提交</w:t>
      </w:r>
    </w:p>
    <w:p w14:paraId="42BCFD9A">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（1）一个投标人只能提交一个投标文件，并按照招标文件第一章规定将其送达。</w:t>
      </w:r>
    </w:p>
    <w:p w14:paraId="08FAFD6F">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（2）密封及其标记的具体形式：详见招标文件第二章。</w:t>
      </w:r>
    </w:p>
    <w:p w14:paraId="40FA3FAC">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10.11投标文件的补充、修改或撤回</w:t>
      </w:r>
    </w:p>
    <w:p w14:paraId="0911BAFF">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（1）投标截止时间前，投标人可对所提交的投标文件进行补充、修改或撤回，并书面通知</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w:t>
      </w:r>
    </w:p>
    <w:p w14:paraId="0ED46E2A">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（2）补充、修改的内容应按照本章第</w:t>
      </w:r>
      <w:r>
        <w:rPr>
          <w:rFonts w:hint="default" w:ascii="Calibri" w:hAnsi="Calibri" w:cs="Calibri"/>
          <w:spacing w:val="0"/>
          <w:sz w:val="24"/>
          <w:szCs w:val="24"/>
        </w:rPr>
        <w:t>10.5</w:t>
      </w:r>
      <w:r>
        <w:rPr>
          <w:rFonts w:hint="eastAsia" w:ascii="宋体" w:hAnsi="宋体" w:eastAsia="宋体" w:cs="宋体"/>
          <w:spacing w:val="0"/>
          <w:sz w:val="24"/>
          <w:szCs w:val="24"/>
        </w:rPr>
        <w:t>条第（</w:t>
      </w:r>
      <w:r>
        <w:rPr>
          <w:rFonts w:hint="default" w:ascii="Calibri" w:hAnsi="Calibri" w:cs="Calibri"/>
          <w:spacing w:val="0"/>
          <w:sz w:val="24"/>
          <w:szCs w:val="24"/>
        </w:rPr>
        <w:t>4</w:t>
      </w:r>
      <w:r>
        <w:rPr>
          <w:rFonts w:hint="eastAsia" w:ascii="宋体" w:hAnsi="宋体" w:eastAsia="宋体" w:cs="宋体"/>
          <w:spacing w:val="0"/>
          <w:sz w:val="24"/>
          <w:szCs w:val="24"/>
        </w:rPr>
        <w:t>）款规定进行签署、盖章，并按照本章第</w:t>
      </w:r>
      <w:r>
        <w:rPr>
          <w:rFonts w:hint="default" w:ascii="Calibri" w:hAnsi="Calibri" w:cs="Calibri"/>
          <w:spacing w:val="0"/>
          <w:sz w:val="24"/>
          <w:szCs w:val="24"/>
        </w:rPr>
        <w:t>10.10</w:t>
      </w:r>
      <w:r>
        <w:rPr>
          <w:rFonts w:hint="eastAsia" w:ascii="宋体" w:hAnsi="宋体" w:eastAsia="宋体" w:cs="宋体"/>
          <w:spacing w:val="0"/>
          <w:sz w:val="24"/>
          <w:szCs w:val="24"/>
        </w:rPr>
        <w:t>条规定提交，</w:t>
      </w:r>
      <w:r>
        <w:rPr>
          <w:rStyle w:val="8"/>
          <w:rFonts w:hint="eastAsia" w:ascii="宋体" w:hAnsi="宋体" w:eastAsia="宋体" w:cs="宋体"/>
          <w:b/>
          <w:spacing w:val="0"/>
          <w:sz w:val="24"/>
          <w:szCs w:val="24"/>
        </w:rPr>
        <w:t>否则将被拒收。</w:t>
      </w:r>
    </w:p>
    <w:p w14:paraId="3E92AF73">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※按照上述规定提交的补充、修改内容作为投标文件组成部分。</w:t>
      </w:r>
    </w:p>
    <w:p w14:paraId="1F1A5D17">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10.12除招标文件另有规定外，有下列情形之一的，</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14:paraId="7B19DCB4">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（1）投标文件未按照招标文件要求签署、盖章；</w:t>
      </w:r>
    </w:p>
    <w:p w14:paraId="5CC71A60">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（2）不符合招标文件中规定的资格要求；</w:t>
      </w:r>
    </w:p>
    <w:p w14:paraId="5CFB3048">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（3）投标报价超过招标文件中规定的预算金额或最高限价；</w:t>
      </w:r>
    </w:p>
    <w:p w14:paraId="254B4AB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（4）投标文件含有采购人不能接受的附加条件；</w:t>
      </w:r>
    </w:p>
    <w:p w14:paraId="492B218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（5）有关法律、法规和规章及招标文件规定的其他无效情形。</w:t>
      </w:r>
    </w:p>
    <w:p w14:paraId="1C799B0D">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69E0932D">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50FA7BDB">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4E9485B9">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01650207">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7007D6A0">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497C7D8A">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68A99439">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1DF463A3">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6F235E97">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24A5A7A7">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2F63A225">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65F1661E">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2C9E8B92">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317EA32B">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18C2E828">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59BE2C97">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73AB1AE2">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3A4C7F33">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43646E8B">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3749F119">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4E4BAB11">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186E0CB3">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089E42A0">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314AE134">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五、开标</w:t>
      </w:r>
    </w:p>
    <w:p w14:paraId="50E2E632">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11、开标</w:t>
      </w:r>
    </w:p>
    <w:p w14:paraId="30CE3F6B">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11.1</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将在招标文件载明的开标时间及地点主持召开开标会，并邀请投标人参加。</w:t>
      </w:r>
    </w:p>
    <w:p w14:paraId="39A99D6E">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11.2开标会的主持人、唱标人、记录人及其他工作人员（若有）均由</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派出，现场监督人员（若有）可由有关方面派出。</w:t>
      </w:r>
    </w:p>
    <w:p w14:paraId="6B5FE171">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11.3参加开标会的投标人应签到，非投标人不参加开标会。</w:t>
      </w:r>
    </w:p>
    <w:p w14:paraId="3A04686B">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11.4开标会应遵守下列规定：</w:t>
      </w:r>
    </w:p>
    <w:p w14:paraId="2E2B18C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（1）首先由主持人宣布开标会须知，然后由投标人代表对投标文件的密封情况进行检查，经确认无误后，由工作人员对密封的投标文件当众拆封。</w:t>
      </w:r>
    </w:p>
    <w:p w14:paraId="265CA3D5">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唱标时，唱标人将依次宣布“投标人名称”、“各投标人关于投标文件补充、修改或撤回的书面通知（若有）”、“各投标人的投标报价”和招标文件规定的需要宣布的其他内容（包括但不限于：开标一览表中的内容、唱标人认为需要宣布的内容等）。</w:t>
      </w:r>
    </w:p>
    <w:p w14:paraId="10183D4D">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（3）记录人对唱标人宣布的内容作开标记录。</w:t>
      </w:r>
    </w:p>
    <w:p w14:paraId="74EFFFC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唱标结束后，投标人代表应对开标记录进行签字确认。投标人代表的签字确认，视为投标人对开标过程和开标记录予以认可。投标人代表拒绝签字确认且无正当理由，亦视为投标人对开标过程和开标记录予以认可。</w:t>
      </w:r>
    </w:p>
    <w:p w14:paraId="53FA4462">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（5）投标人代表对开标过程和开标记录有疑义，以及认为采购人（采购代理机构）相关工作人员有需要回避情形的，应当场提出询问或回避申请。否则，视为投标人对开标过程和开标记录予以认可。</w:t>
      </w:r>
    </w:p>
    <w:p w14:paraId="33487EE4">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（6）若投标人未参加开标会（包括但不限于投标人派出的人员不是投标人代表），视同其对开标过程和开标记录予以认可。</w:t>
      </w:r>
    </w:p>
    <w:p w14:paraId="1EC38DD1">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※若出现本章第</w:t>
      </w:r>
      <w:r>
        <w:rPr>
          <w:rStyle w:val="8"/>
          <w:rFonts w:hint="default" w:ascii="Calibri" w:hAnsi="Calibri" w:cs="Calibri"/>
          <w:b/>
          <w:spacing w:val="0"/>
          <w:sz w:val="24"/>
          <w:szCs w:val="24"/>
        </w:rPr>
        <w:t>11.4</w:t>
      </w:r>
      <w:r>
        <w:rPr>
          <w:rStyle w:val="8"/>
          <w:rFonts w:hint="eastAsia" w:ascii="宋体" w:hAnsi="宋体" w:eastAsia="宋体" w:cs="宋体"/>
          <w:b/>
          <w:spacing w:val="0"/>
          <w:sz w:val="24"/>
          <w:szCs w:val="24"/>
        </w:rPr>
        <w:t>条第（</w:t>
      </w:r>
      <w:r>
        <w:rPr>
          <w:rStyle w:val="8"/>
          <w:rFonts w:hint="default" w:ascii="Calibri" w:hAnsi="Calibri" w:cs="Calibri"/>
          <w:b/>
          <w:spacing w:val="0"/>
          <w:sz w:val="24"/>
          <w:szCs w:val="24"/>
        </w:rPr>
        <w:t>4</w:t>
      </w:r>
      <w:r>
        <w:rPr>
          <w:rStyle w:val="8"/>
          <w:rFonts w:hint="eastAsia" w:ascii="宋体" w:hAnsi="宋体" w:eastAsia="宋体" w:cs="宋体"/>
          <w:b/>
          <w:spacing w:val="0"/>
          <w:sz w:val="24"/>
          <w:szCs w:val="24"/>
        </w:rPr>
        <w:t>）、（</w:t>
      </w:r>
      <w:r>
        <w:rPr>
          <w:rStyle w:val="8"/>
          <w:rFonts w:hint="default" w:ascii="Calibri" w:hAnsi="Calibri" w:cs="Calibri"/>
          <w:b/>
          <w:spacing w:val="0"/>
          <w:sz w:val="24"/>
          <w:szCs w:val="24"/>
        </w:rPr>
        <w:t>5</w:t>
      </w:r>
      <w:r>
        <w:rPr>
          <w:rStyle w:val="8"/>
          <w:rFonts w:hint="eastAsia" w:ascii="宋体" w:hAnsi="宋体" w:eastAsia="宋体" w:cs="宋体"/>
          <w:b/>
          <w:spacing w:val="0"/>
          <w:sz w:val="24"/>
          <w:szCs w:val="24"/>
        </w:rPr>
        <w:t>）、（</w:t>
      </w:r>
      <w:r>
        <w:rPr>
          <w:rStyle w:val="8"/>
          <w:rFonts w:hint="default" w:ascii="Calibri" w:hAnsi="Calibri" w:cs="Calibri"/>
          <w:b/>
          <w:spacing w:val="0"/>
          <w:sz w:val="24"/>
          <w:szCs w:val="24"/>
        </w:rPr>
        <w:t>6</w:t>
      </w:r>
      <w:r>
        <w:rPr>
          <w:rStyle w:val="8"/>
          <w:rFonts w:hint="eastAsia" w:ascii="宋体" w:hAnsi="宋体" w:eastAsia="宋体" w:cs="宋体"/>
          <w:b/>
          <w:spacing w:val="0"/>
          <w:sz w:val="24"/>
          <w:szCs w:val="24"/>
        </w:rPr>
        <w:t>）款规定情形之一</w:t>
      </w:r>
      <w:r>
        <w:rPr>
          <w:rFonts w:hint="eastAsia" w:ascii="宋体" w:hAnsi="宋体" w:eastAsia="宋体" w:cs="宋体"/>
          <w:spacing w:val="0"/>
          <w:sz w:val="24"/>
          <w:szCs w:val="24"/>
        </w:rPr>
        <w:t>，</w:t>
      </w:r>
      <w:r>
        <w:rPr>
          <w:rStyle w:val="8"/>
          <w:rFonts w:hint="eastAsia" w:ascii="宋体" w:hAnsi="宋体" w:eastAsia="宋体" w:cs="宋体"/>
          <w:b/>
          <w:spacing w:val="0"/>
          <w:sz w:val="24"/>
          <w:szCs w:val="24"/>
        </w:rPr>
        <w:t>则投标人不得在开标会后就开标过程和开标记录涉及或可能涉及的有关事由（包括但不限于：“投标报价”、“投标文件的格式”、“投标文件的提交”、“投标文件的补充、修改或撤回”等）向</w:t>
      </w:r>
      <w:r>
        <w:rPr>
          <w:rFonts w:hint="eastAsia" w:ascii="宋体" w:hAnsi="宋体" w:eastAsia="宋体" w:cs="宋体"/>
          <w:spacing w:val="0"/>
          <w:sz w:val="24"/>
          <w:szCs w:val="24"/>
          <w:u w:val="single"/>
        </w:rPr>
        <w:t>福建省顺鑫招标代理有限公司</w:t>
      </w:r>
      <w:r>
        <w:rPr>
          <w:rStyle w:val="8"/>
          <w:rFonts w:hint="eastAsia" w:ascii="宋体" w:hAnsi="宋体" w:eastAsia="宋体" w:cs="宋体"/>
          <w:b/>
          <w:spacing w:val="0"/>
          <w:sz w:val="24"/>
          <w:szCs w:val="24"/>
        </w:rPr>
        <w:t>提出任何疑义或要求（包括质疑）。</w:t>
      </w:r>
    </w:p>
    <w:p w14:paraId="20B22EB4">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11.5投标截止时间后，参加投标的投标人不足三家的，不进行开标。同时，本次采购活动结束，</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将依法组织后续采购活动（包括但不限于：重新招标、采用其他方式采购等）。</w:t>
      </w:r>
    </w:p>
    <w:p w14:paraId="414E635C">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1148974F">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4A9D18C2">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2EAEE8D5">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18542105">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063A6214">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319B4EC6">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27FCE477">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2C1A6B80">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六、中标与政府采购合同</w:t>
      </w:r>
    </w:p>
    <w:p w14:paraId="0AE53AAD">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12、中标</w:t>
      </w:r>
    </w:p>
    <w:p w14:paraId="090126F2">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12.1本项目推荐的中标候选人家数：详见招标文件第二章。</w:t>
      </w:r>
    </w:p>
    <w:p w14:paraId="3F803F8F">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12.2本项目中标人的确定：详见招标文件第二章。</w:t>
      </w:r>
    </w:p>
    <w:p w14:paraId="78406983">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12.3中标公告</w:t>
      </w:r>
    </w:p>
    <w:p w14:paraId="7E130B2A">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（1）中标人确定之日起</w:t>
      </w:r>
      <w:r>
        <w:rPr>
          <w:rFonts w:hint="default" w:ascii="Calibri" w:hAnsi="Calibri" w:cs="Calibri"/>
          <w:spacing w:val="0"/>
          <w:sz w:val="24"/>
          <w:szCs w:val="24"/>
        </w:rPr>
        <w:t>2</w:t>
      </w:r>
      <w:r>
        <w:rPr>
          <w:rFonts w:hint="eastAsia" w:ascii="宋体" w:hAnsi="宋体" w:eastAsia="宋体" w:cs="宋体"/>
          <w:spacing w:val="0"/>
          <w:sz w:val="24"/>
          <w:szCs w:val="24"/>
        </w:rPr>
        <w:t>个工作日内，</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将在招标文件载明的指定媒体以中标公告的形式发布中标结果。</w:t>
      </w:r>
    </w:p>
    <w:p w14:paraId="3693D2CF">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（2）中标公告的公告期限为</w:t>
      </w:r>
      <w:r>
        <w:rPr>
          <w:rFonts w:hint="default" w:ascii="Calibri" w:hAnsi="Calibri" w:cs="Calibri"/>
          <w:spacing w:val="0"/>
          <w:sz w:val="24"/>
          <w:szCs w:val="24"/>
        </w:rPr>
        <w:t>1</w:t>
      </w:r>
      <w:r>
        <w:rPr>
          <w:rFonts w:hint="eastAsia" w:ascii="宋体" w:hAnsi="宋体" w:eastAsia="宋体" w:cs="宋体"/>
          <w:spacing w:val="0"/>
          <w:sz w:val="24"/>
          <w:szCs w:val="24"/>
        </w:rPr>
        <w:t>个工作日。</w:t>
      </w:r>
    </w:p>
    <w:p w14:paraId="0841403C">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（3）中标公告同时作为</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通知除中标人外的其他投标人没有中标的书面形式。</w:t>
      </w:r>
    </w:p>
    <w:p w14:paraId="2C461FC2">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12.4中标通知书</w:t>
      </w:r>
    </w:p>
    <w:p w14:paraId="6286A394">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（1）中标公告发布的同时，</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将向中标人发出中标通知书。</w:t>
      </w:r>
    </w:p>
    <w:p w14:paraId="5F319EB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（2）中标通知书发出后，采购人不得违法改变中标结果，中标人无正当理由不得放弃中标。</w:t>
      </w:r>
    </w:p>
    <w:p w14:paraId="12D76E04">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13、政府采购合同</w:t>
      </w:r>
    </w:p>
    <w:p w14:paraId="511B83B0">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13.1签订政府采购合同应遵守政府采购法及实施条例的规定，不得对招标文件确定的事项和中标人的投标文件作实质性修改。采购人不得向中标人提出任何不合理的要求作为政府采购合同的签订条件。</w:t>
      </w:r>
    </w:p>
    <w:p w14:paraId="7392ACC9">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13.2签订时限：自中标通知书发出之日起</w:t>
      </w:r>
      <w:r>
        <w:rPr>
          <w:rFonts w:hint="default" w:ascii="Calibri" w:hAnsi="Calibri" w:cs="Calibri"/>
          <w:spacing w:val="0"/>
          <w:sz w:val="24"/>
          <w:szCs w:val="24"/>
        </w:rPr>
        <w:t>30</w:t>
      </w:r>
      <w:r>
        <w:rPr>
          <w:rFonts w:hint="eastAsia" w:ascii="宋体" w:hAnsi="宋体" w:eastAsia="宋体" w:cs="宋体"/>
          <w:spacing w:val="0"/>
          <w:sz w:val="24"/>
          <w:szCs w:val="24"/>
        </w:rPr>
        <w:t>个日历日内。</w:t>
      </w:r>
    </w:p>
    <w:p w14:paraId="3CC85807">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13.3政府采购合同的履行、违约责任和解决争议的方法等适用合同法。</w:t>
      </w:r>
    </w:p>
    <w:p w14:paraId="56035FD1">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13.4采购人与中标人应根据政府采购合同的约定依法履行合同义务。</w:t>
      </w:r>
    </w:p>
    <w:p w14:paraId="29A6A0BF">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13.5政府采购合同履行过程中，采购人若需追加与合同标的相同的货物或服务，则追加采购金额不得超过原合同采购金额的</w:t>
      </w:r>
      <w:r>
        <w:rPr>
          <w:rFonts w:hint="default" w:ascii="Calibri" w:hAnsi="Calibri" w:cs="Calibri"/>
          <w:spacing w:val="0"/>
          <w:sz w:val="24"/>
          <w:szCs w:val="24"/>
        </w:rPr>
        <w:t>10%</w:t>
      </w:r>
      <w:r>
        <w:rPr>
          <w:rFonts w:hint="eastAsia" w:ascii="宋体" w:hAnsi="宋体" w:eastAsia="宋体" w:cs="宋体"/>
          <w:spacing w:val="0"/>
          <w:sz w:val="24"/>
          <w:szCs w:val="24"/>
        </w:rPr>
        <w:t>。</w:t>
      </w:r>
    </w:p>
    <w:p w14:paraId="6845A0B1">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13.6中标人在政府采购合同履行过程中应遵守有关法律、法规和规章的强制性规定（即使前述强制性规定有可能在招标文件中未予列明）。</w:t>
      </w:r>
    </w:p>
    <w:p w14:paraId="735F5D06">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0D16599E">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7FBCBF98">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10C15F66">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2C717D4C">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3728257F">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677151E4">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6417BDB5">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5A60C68C">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3661A62D">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477472A7">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60350FBF">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七、询问、质疑与投诉</w:t>
      </w:r>
    </w:p>
    <w:p w14:paraId="5BED65F6">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14、询问</w:t>
      </w:r>
    </w:p>
    <w:p w14:paraId="23705092">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14.1潜在投标人或投标人对本次采购活动的有关事项若有疑问，可向福建省顺鑫招标代理有限公司提出询问，福建省顺鑫招标代理有限公司将按照政府采购法及实施条例的有关规定进行答复。</w:t>
      </w:r>
    </w:p>
    <w:p w14:paraId="47C862F2">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15、质疑</w:t>
      </w:r>
    </w:p>
    <w:p w14:paraId="675AE4B5">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15.1</w:t>
      </w:r>
      <w:r>
        <w:rPr>
          <w:rFonts w:hint="eastAsia" w:ascii="宋体" w:hAnsi="宋体" w:eastAsia="宋体" w:cs="宋体"/>
        </w:rPr>
        <w:t>针对同一采购程序环节的质疑应在政府采购法及实施条例规定的时限内一次性提出</w:t>
      </w:r>
      <w:r>
        <w:rPr>
          <w:rFonts w:hint="eastAsia" w:ascii="宋体" w:hAnsi="宋体" w:eastAsia="宋体" w:cs="宋体"/>
          <w:spacing w:val="0"/>
        </w:rPr>
        <w:t>，并同时符合下列条件：</w:t>
      </w:r>
    </w:p>
    <w:p w14:paraId="54A432DD">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（1）对招标文件提出质疑的，质疑人应为潜在投标人，且两者的身份、名称等均应保持一致。对采购过程、结果提出质疑的，质疑人应为投标人，且两者的身份、名称等均应保持一致。</w:t>
      </w:r>
    </w:p>
    <w:p w14:paraId="5D005043">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（2）质疑人应按照招标文件第二章规定方式提交质疑函。</w:t>
      </w:r>
    </w:p>
    <w:p w14:paraId="6B5B0C02">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（3）质疑函应包括下列主要内容：</w:t>
      </w:r>
    </w:p>
    <w:p w14:paraId="2EC543F8">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①质疑人的基本信息，至少包括：全称、地址、邮政编码等；</w:t>
      </w:r>
    </w:p>
    <w:p w14:paraId="1844432A">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②所质疑项目的基本信息，至少包括：招标编号、项目名称等；</w:t>
      </w:r>
    </w:p>
    <w:p w14:paraId="1F5E343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③所质疑的具体事项（以下简称：“质疑事项”）；</w:t>
      </w:r>
    </w:p>
    <w:p w14:paraId="63707BD3">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针对质疑事项提出的明确请求，前述明确请求指质疑人提出质疑的目的以及希望福建省顺鑫招标代理有限公司对其质疑作出的处理结果，如：暂停招标投标活动、修改招标文件、停止或纠正违法违规行为、中标结果无效、废标、重新招标等；</w:t>
      </w:r>
    </w:p>
    <w:p w14:paraId="67DD526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⑤针对质疑事项导致质疑人自身权益受到损害的必要证明材料，至少包括：</w:t>
      </w:r>
    </w:p>
    <w:p w14:paraId="0A025E30">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a.质疑人代表的身份证明材料：</w:t>
      </w:r>
    </w:p>
    <w:p w14:paraId="4AEAE81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a1</w:t>
      </w:r>
      <w:r>
        <w:rPr>
          <w:rFonts w:hint="eastAsia" w:ascii="宋体" w:hAnsi="宋体" w:eastAsia="宋体" w:cs="宋体"/>
        </w:rPr>
        <w:t>质疑人为法人或其他组织的，提供统一社会信用代码营业执照等证明文件的副本复印件、单位负责人的身份证复印件；质疑人代表为委托代理人的，还应同时提供单位负责人授权书（应载明代理人的姓名或者名称、代理事项、具体权限、期限和相关事项，授权书应由单位负责人签字或盖章，并加盖投标人的单位公章）和委托代理人的身份证复印件</w:t>
      </w:r>
      <w:r>
        <w:rPr>
          <w:rFonts w:hint="eastAsia" w:ascii="宋体" w:hAnsi="宋体" w:eastAsia="宋体" w:cs="宋体"/>
          <w:spacing w:val="0"/>
        </w:rPr>
        <w:t>。</w:t>
      </w:r>
    </w:p>
    <w:p w14:paraId="51A0CD0F">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a2若本项目接受自然人投标且质疑人为自然人的，提供本人的身份证复印件。</w:t>
      </w:r>
    </w:p>
    <w:p w14:paraId="5C30D0B2">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w:t>
      </w:r>
      <w:r>
        <w:rPr>
          <w:rFonts w:hint="eastAsia" w:ascii="宋体" w:hAnsi="宋体" w:eastAsia="宋体" w:cs="宋体"/>
        </w:rPr>
        <w:t>其他证明材料（即事实依据和必要的法律依据）</w:t>
      </w:r>
      <w:r>
        <w:rPr>
          <w:rFonts w:hint="eastAsia" w:ascii="宋体" w:hAnsi="宋体" w:eastAsia="宋体" w:cs="宋体"/>
          <w:spacing w:val="0"/>
        </w:rPr>
        <w:t>包括但不限于下列材料：</w:t>
      </w:r>
    </w:p>
    <w:p w14:paraId="2940D0F0">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b1所质疑的具体事项是与自已有利害关系的证明材料；</w:t>
      </w:r>
    </w:p>
    <w:p w14:paraId="4AD2FE34">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b2质疑函所述事实存在的证明材料，如：采购文件、采购过程或中标结果违法违规或不符合采购文件要求等证明材料；</w:t>
      </w:r>
    </w:p>
    <w:p w14:paraId="41E1E1C2">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b3依法应终止采购程序的证明材料；</w:t>
      </w:r>
    </w:p>
    <w:p w14:paraId="18605E4C">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b4应重新采购的证明材料；</w:t>
      </w:r>
    </w:p>
    <w:p w14:paraId="3CE66CB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b5采购文件、采购过程或中标、成交结果损害自已合法权益的证明材料等；</w:t>
      </w:r>
    </w:p>
    <w:p w14:paraId="4FBB7413">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6若质疑的具体事项按照有关法律、法规和规章规定处于保密阶段，则应提供信息或证明材料为合法或公开渠道获得的有效证据（若证据无法有效表明信息或证明材料为合法或公开渠道获得，则前述信息或证明材料</w:t>
      </w:r>
      <w:r>
        <w:rPr>
          <w:rStyle w:val="8"/>
          <w:rFonts w:hint="eastAsia" w:ascii="宋体" w:hAnsi="宋体" w:eastAsia="宋体" w:cs="宋体"/>
          <w:b/>
          <w:spacing w:val="0"/>
          <w:sz w:val="24"/>
          <w:szCs w:val="24"/>
        </w:rPr>
        <w:t>视为无效</w:t>
      </w:r>
      <w:r>
        <w:rPr>
          <w:rFonts w:hint="eastAsia" w:ascii="宋体" w:hAnsi="宋体" w:eastAsia="宋体" w:cs="宋体"/>
          <w:spacing w:val="0"/>
          <w:sz w:val="24"/>
          <w:szCs w:val="24"/>
        </w:rPr>
        <w:t>）。</w:t>
      </w:r>
      <w:r>
        <w:rPr>
          <w:rFonts w:hint="eastAsia" w:ascii="宋体" w:hAnsi="宋体" w:eastAsia="宋体" w:cs="宋体"/>
          <w:spacing w:val="0"/>
          <w:sz w:val="24"/>
          <w:szCs w:val="24"/>
        </w:rPr>
        <w:br w:type="textWrapping"/>
      </w:r>
      <w:r>
        <w:rPr>
          <w:rFonts w:hint="eastAsia" w:ascii="宋体" w:hAnsi="宋体" w:eastAsia="宋体" w:cs="宋体"/>
        </w:rPr>
        <w:t>   ⑥质疑人代表及其联系方法的信息，至少包括：姓名、手机、电子信箱、邮寄地址等。</w:t>
      </w:r>
      <w:r>
        <w:rPr>
          <w:rFonts w:hint="eastAsia" w:ascii="宋体" w:hAnsi="宋体" w:eastAsia="宋体" w:cs="宋体"/>
        </w:rPr>
        <w:br w:type="textWrapping"/>
      </w:r>
      <w:r>
        <w:rPr>
          <w:rFonts w:hint="eastAsia" w:ascii="宋体" w:hAnsi="宋体" w:eastAsia="宋体" w:cs="宋体"/>
        </w:rPr>
        <w:t>   ⑦提出质疑的日期。</w:t>
      </w:r>
    </w:p>
    <w:p w14:paraId="0A77AB8E">
      <w:pPr>
        <w:pStyle w:val="5"/>
        <w:keepNext w:val="0"/>
        <w:keepLines w:val="0"/>
        <w:widowControl/>
        <w:suppressLineNumbers w:val="0"/>
        <w:spacing w:before="0" w:beforeAutospacing="0" w:after="150" w:afterAutospacing="0"/>
        <w:ind w:left="0" w:right="0" w:firstLine="480"/>
      </w:pPr>
      <w:r>
        <w:rPr>
          <w:rStyle w:val="8"/>
          <w:rFonts w:hint="eastAsia" w:ascii="宋体" w:hAnsi="宋体" w:eastAsia="宋体" w:cs="宋体"/>
          <w:b/>
          <w:sz w:val="24"/>
          <w:szCs w:val="24"/>
        </w:rPr>
        <w:t>※质疑人为法人或其他组织的，质疑函应由单位负责人或委托代理人签字或盖章，并加盖投标人的单位公章。质疑人为自然人的，质疑函应由本人签字。</w:t>
      </w:r>
    </w:p>
    <w:p w14:paraId="071BE50C">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15.2对不符合本章第</w:t>
      </w:r>
      <w:r>
        <w:rPr>
          <w:rFonts w:hint="default" w:ascii="Calibri" w:hAnsi="Calibri" w:cs="Calibri"/>
          <w:spacing w:val="0"/>
          <w:sz w:val="24"/>
          <w:szCs w:val="24"/>
        </w:rPr>
        <w:t>15.1</w:t>
      </w:r>
      <w:r>
        <w:rPr>
          <w:rFonts w:hint="eastAsia" w:ascii="宋体" w:hAnsi="宋体" w:eastAsia="宋体" w:cs="宋体"/>
          <w:spacing w:val="0"/>
          <w:sz w:val="24"/>
          <w:szCs w:val="24"/>
        </w:rPr>
        <w:t>条规定的质疑，将按照下列规定进行处理：</w:t>
      </w:r>
    </w:p>
    <w:p w14:paraId="66CF4BBD">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（1）不符合其中第（</w:t>
      </w:r>
      <w:r>
        <w:rPr>
          <w:rFonts w:hint="default" w:ascii="Calibri" w:hAnsi="Calibri" w:cs="Calibri"/>
          <w:spacing w:val="0"/>
          <w:sz w:val="24"/>
          <w:szCs w:val="24"/>
        </w:rPr>
        <w:t>1</w:t>
      </w:r>
      <w:r>
        <w:rPr>
          <w:rFonts w:hint="eastAsia" w:ascii="宋体" w:hAnsi="宋体" w:eastAsia="宋体" w:cs="宋体"/>
          <w:spacing w:val="0"/>
          <w:sz w:val="24"/>
          <w:szCs w:val="24"/>
        </w:rPr>
        <w:t>）、（</w:t>
      </w:r>
      <w:r>
        <w:rPr>
          <w:rFonts w:hint="default" w:ascii="Calibri" w:hAnsi="Calibri" w:cs="Calibri"/>
          <w:spacing w:val="0"/>
          <w:sz w:val="24"/>
          <w:szCs w:val="24"/>
        </w:rPr>
        <w:t>2</w:t>
      </w:r>
      <w:r>
        <w:rPr>
          <w:rFonts w:hint="eastAsia" w:ascii="宋体" w:hAnsi="宋体" w:eastAsia="宋体" w:cs="宋体"/>
          <w:spacing w:val="0"/>
          <w:sz w:val="24"/>
          <w:szCs w:val="24"/>
        </w:rPr>
        <w:t>）条规定的，书面告知质疑人不予受理及其理由。</w:t>
      </w:r>
    </w:p>
    <w:p w14:paraId="284095B4">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（2）不符合其中第（</w:t>
      </w:r>
      <w:r>
        <w:rPr>
          <w:rFonts w:hint="default" w:ascii="Calibri" w:hAnsi="Calibri" w:cs="Calibri"/>
          <w:spacing w:val="0"/>
          <w:sz w:val="24"/>
          <w:szCs w:val="24"/>
        </w:rPr>
        <w:t>3</w:t>
      </w:r>
      <w:r>
        <w:rPr>
          <w:rFonts w:hint="eastAsia" w:ascii="宋体" w:hAnsi="宋体" w:eastAsia="宋体" w:cs="宋体"/>
          <w:spacing w:val="0"/>
          <w:sz w:val="24"/>
          <w:szCs w:val="24"/>
        </w:rPr>
        <w:t>）条规定的，书面告知质疑人修改、补充后在规定时限内重新提交质疑函。</w:t>
      </w:r>
    </w:p>
    <w:p w14:paraId="46E7B733">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15.3对符合本章第</w:t>
      </w:r>
      <w:r>
        <w:rPr>
          <w:rFonts w:hint="default" w:ascii="Calibri" w:hAnsi="Calibri" w:cs="Calibri"/>
          <w:spacing w:val="0"/>
          <w:sz w:val="24"/>
          <w:szCs w:val="24"/>
        </w:rPr>
        <w:t>15.1</w:t>
      </w:r>
      <w:r>
        <w:rPr>
          <w:rFonts w:hint="eastAsia" w:ascii="宋体" w:hAnsi="宋体" w:eastAsia="宋体" w:cs="宋体"/>
          <w:spacing w:val="0"/>
          <w:sz w:val="24"/>
          <w:szCs w:val="24"/>
        </w:rPr>
        <w:t>条规定的质疑，将按照政府采购法及实施条例</w:t>
      </w:r>
      <w:r>
        <w:rPr>
          <w:rFonts w:hint="eastAsia" w:ascii="宋体" w:hAnsi="宋体" w:eastAsia="宋体" w:cs="宋体"/>
        </w:rPr>
        <w:t>、政府采购质疑和投诉办法</w:t>
      </w:r>
      <w:r>
        <w:rPr>
          <w:rFonts w:hint="eastAsia" w:ascii="宋体" w:hAnsi="宋体" w:eastAsia="宋体" w:cs="宋体"/>
          <w:spacing w:val="0"/>
        </w:rPr>
        <w:t>的有关规定进行答复。</w:t>
      </w:r>
    </w:p>
    <w:p w14:paraId="73AD9F81">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15.4招标文件的质疑：详见招标文件第二章。</w:t>
      </w:r>
    </w:p>
    <w:p w14:paraId="675A2172">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16、投诉</w:t>
      </w:r>
    </w:p>
    <w:p w14:paraId="01CC9EE7">
      <w:pPr>
        <w:pStyle w:val="5"/>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16.1若对质疑答复不满意或质疑答复未在答复期限内作出，质疑人可在答复期限届满之日起</w:t>
      </w:r>
      <w:r>
        <w:rPr>
          <w:rFonts w:hint="default" w:ascii="Calibri" w:hAnsi="Calibri" w:eastAsia="宋体" w:cs="Calibri"/>
          <w:sz w:val="24"/>
          <w:szCs w:val="24"/>
        </w:rPr>
        <w:t>15</w:t>
      </w:r>
      <w:r>
        <w:rPr>
          <w:rFonts w:hint="eastAsia" w:ascii="宋体" w:hAnsi="宋体" w:eastAsia="宋体" w:cs="宋体"/>
          <w:sz w:val="24"/>
          <w:szCs w:val="24"/>
        </w:rPr>
        <w:t>个工作日内按照政府采购质疑和投诉办法的有关规定向招标文件第二章载明的本项目监督管理部门提起投诉。</w:t>
      </w:r>
    </w:p>
    <w:p w14:paraId="6A468A46">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16.2投诉应有明确的请求和必要的证明材料，投诉的事项不得超出已质疑事项的范围。</w:t>
      </w:r>
    </w:p>
    <w:p w14:paraId="21FFC040">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6244DBBA">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6BB15580">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38316F63">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1291E17E">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1F76E368">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1B5B2640">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71F9FD05">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074E641A">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2F9BCB3D">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05466DB8">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0060E1C2">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2E2AFB68">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61BBF6BA">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10E1BF0A">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61C4F17E">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6463263B">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49394ECF">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70645D11">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八、政府采购政策</w:t>
      </w:r>
    </w:p>
    <w:p w14:paraId="78C77C77">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17、政府采购政策由财政部根据国家的经济和社会发展政策并会同国家有关部委制定，包括但不限于下列具体政策要求：</w:t>
      </w:r>
    </w:p>
    <w:p w14:paraId="0FB823DB">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17.1进口产品指通过中国海关报关验放进入中国境内且产自关境外的产品，其中：</w:t>
      </w:r>
    </w:p>
    <w:p w14:paraId="4D85736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14:paraId="590531D3">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（2）凡在海关特殊监管区域内企业生产或加工（包括从境外进口料件）销往境内其他地区的产品，不作为政府采购项下进口产品。</w:t>
      </w:r>
    </w:p>
    <w:p w14:paraId="211F4178">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（3）对从境外进入海关特殊监管区域，再经办理报关手续后从海关特殊监管区进入境内其他地区的产品，认定为进口产品。</w:t>
      </w:r>
    </w:p>
    <w:p w14:paraId="02A8DE0D">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（4）招标文件列明不允许或未列明允许进口产品参加投标的，均视为拒绝进口产品参加投标。</w:t>
      </w:r>
    </w:p>
    <w:p w14:paraId="0F1CF3C1">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17.2节能产品指列入财政部、国家发展和改革委员会《节能产品政府采购清单》（以下简称：“节能清单”）且认证证书在有效期内的产品。环境标志产品指列入财政部、生态环境部《环境标志产品政府采购清单》（以下简称：“环保清单”）且认证证书在有效期内的产品，或及国家确定的认证机构出具的、处于有效期之内的节能产品、环境标志产品认证证书的产品。其中：</w:t>
      </w:r>
    </w:p>
    <w:p w14:paraId="01D6F9D2">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节能清单所列产品包括政府强制采购和优先采购的节能产品。未列入节能清单的产品，不属于政府强制采购、优先采购的节能产品（以下分别简称：“强制类节能产品”、“优先类节能产品”）范围。节能清单中的产品，其制造商名称或地址在清单执行期内依法变更的，经有关认证机构核准并办理认证证书变更手续后，仍属于节能清单的范围。节能清单中的台式计算机产品的性能参数应与节能清单所列性能参数一致，否则不属于节能清单的范围。</w:t>
      </w:r>
    </w:p>
    <w:p w14:paraId="31836FAC">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环保清单所列产品为政府优先采购产品。未列入环保清单的产品，不属于政府优先采购的环境标志产品范围。环保清单中的产品，其制造商名称或地址在清单执行期内依法变更的，经有关认证机构核准并办理认证证书变更手续后，仍属于环保清单的范围。环保清单中的台式计算机产品的性能参数应与环保清单所列性能参数一致，否则不属于环保清单的范围。</w:t>
      </w:r>
    </w:p>
    <w:p w14:paraId="2DCE0AB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（3）对于同时列入节能清单和环保清单的产品，优先于只列入其中一个清单的产品。</w:t>
      </w:r>
    </w:p>
    <w:p w14:paraId="79F87DB6">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（4）在财政部会同上述国家部委调整公布最新一期节能或环保清单通知发布之前已经开展但尚未进入评审环节的采购活动，按照招标文件约定的期数执行。在发布之后开展的采购活动，按照最新一期执行。</w:t>
      </w:r>
      <w:r>
        <w:rPr>
          <w:rFonts w:hint="eastAsia" w:ascii="宋体" w:hAnsi="宋体" w:eastAsia="宋体" w:cs="宋体"/>
          <w:spacing w:val="0"/>
          <w:sz w:val="24"/>
          <w:szCs w:val="24"/>
        </w:rPr>
        <w:br w:type="textWrapping"/>
      </w:r>
      <w:r>
        <w:rPr>
          <w:rFonts w:hint="eastAsia" w:ascii="宋体" w:hAnsi="宋体" w:eastAsia="宋体" w:cs="宋体"/>
          <w:spacing w:val="0"/>
          <w:sz w:val="24"/>
          <w:szCs w:val="24"/>
        </w:rPr>
        <w:t>   （5）未在节能清单、环保清单内的产品应提交国家确定的认证机构出具的、处于有效期之内的节能产品、环境标志产品认证证书。</w:t>
      </w:r>
    </w:p>
    <w:p w14:paraId="58A6F819">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17.3列入国家质检总局、国家认监委《第一批信息安全产品强制性认证目录》（以下简称“信息安全产品目录”）内的信息安全产品，应获得强制性产品认证证书（即中国信息安全认证中心颁发的《中国国家信息安全产品认证证书》）和加施中国强制性认证标志。未列入信息安全产品目录的产品，不属于政府强制采购的信息安全产品范围。</w:t>
      </w:r>
    </w:p>
    <w:p w14:paraId="560FEB9D">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17.4符合财政部、工信部文件（财库</w:t>
      </w:r>
      <w:r>
        <w:rPr>
          <w:rFonts w:hint="default" w:ascii="Calibri" w:hAnsi="Calibri" w:cs="Calibri"/>
          <w:spacing w:val="0"/>
          <w:sz w:val="24"/>
          <w:szCs w:val="24"/>
        </w:rPr>
        <w:t>[2011]181</w:t>
      </w:r>
      <w:r>
        <w:rPr>
          <w:rFonts w:hint="eastAsia" w:ascii="宋体" w:hAnsi="宋体" w:eastAsia="宋体" w:cs="宋体"/>
          <w:spacing w:val="0"/>
          <w:sz w:val="24"/>
          <w:szCs w:val="24"/>
        </w:rPr>
        <w:t>号）规定的</w:t>
      </w:r>
      <w:r>
        <w:rPr>
          <w:rStyle w:val="8"/>
          <w:rFonts w:hint="eastAsia" w:ascii="宋体" w:hAnsi="宋体" w:eastAsia="宋体" w:cs="宋体"/>
          <w:b/>
          <w:spacing w:val="0"/>
          <w:sz w:val="24"/>
          <w:szCs w:val="24"/>
        </w:rPr>
        <w:t>小型、微型企业</w:t>
      </w:r>
      <w:r>
        <w:rPr>
          <w:rFonts w:hint="eastAsia" w:ascii="宋体" w:hAnsi="宋体" w:eastAsia="宋体" w:cs="宋体"/>
          <w:spacing w:val="0"/>
          <w:sz w:val="24"/>
          <w:szCs w:val="24"/>
        </w:rPr>
        <w:t>可享受扶持政策（如：预留份额、评审中价格扣除等）。符合财政部、司法部文件（财库[2014]68号）规定的监狱企业（以下简称：</w:t>
      </w:r>
      <w:r>
        <w:rPr>
          <w:rStyle w:val="8"/>
          <w:rFonts w:hint="eastAsia" w:ascii="宋体" w:hAnsi="宋体" w:eastAsia="宋体" w:cs="宋体"/>
          <w:b/>
          <w:spacing w:val="0"/>
          <w:sz w:val="24"/>
          <w:szCs w:val="24"/>
        </w:rPr>
        <w:t>“监狱企业”</w:t>
      </w:r>
      <w:r>
        <w:rPr>
          <w:rFonts w:hint="eastAsia" w:ascii="宋体" w:hAnsi="宋体" w:eastAsia="宋体" w:cs="宋体"/>
          <w:spacing w:val="0"/>
          <w:sz w:val="24"/>
          <w:szCs w:val="24"/>
        </w:rPr>
        <w:t>）亦可享受前述扶持政策。符合财政部、民政部、中国残联文件（财库[2017]141号）规定的残疾人福利性单位（以下简称：</w:t>
      </w:r>
      <w:r>
        <w:rPr>
          <w:rStyle w:val="8"/>
          <w:rFonts w:hint="eastAsia" w:ascii="宋体" w:hAnsi="宋体" w:eastAsia="宋体" w:cs="宋体"/>
          <w:b/>
          <w:spacing w:val="0"/>
          <w:sz w:val="24"/>
          <w:szCs w:val="24"/>
        </w:rPr>
        <w:t>“残疾人福利性单位”</w:t>
      </w:r>
      <w:r>
        <w:rPr>
          <w:rFonts w:hint="eastAsia" w:ascii="宋体" w:hAnsi="宋体" w:eastAsia="宋体" w:cs="宋体"/>
          <w:spacing w:val="0"/>
          <w:sz w:val="24"/>
          <w:szCs w:val="24"/>
        </w:rPr>
        <w:t>）亦可享受前述扶持政策。其中：</w:t>
      </w:r>
    </w:p>
    <w:p w14:paraId="249AB756">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（1）中小企业指同时符合下列条件的中型、小型、微型企业：</w:t>
      </w:r>
    </w:p>
    <w:p w14:paraId="2AF0C442">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①符合《工业和信息化部、国家统计局、国家发展和改革委员会、财政部关于印发中小企业划型标准规定的通知》（工信部联企业</w:t>
      </w:r>
      <w:r>
        <w:rPr>
          <w:rFonts w:hint="default" w:ascii="Calibri" w:hAnsi="Calibri" w:cs="Calibri"/>
          <w:spacing w:val="0"/>
          <w:sz w:val="24"/>
          <w:szCs w:val="24"/>
        </w:rPr>
        <w:t>[2011]300</w:t>
      </w:r>
      <w:r>
        <w:rPr>
          <w:rFonts w:hint="eastAsia" w:ascii="宋体" w:hAnsi="宋体" w:eastAsia="宋体" w:cs="宋体"/>
          <w:spacing w:val="0"/>
          <w:sz w:val="24"/>
          <w:szCs w:val="24"/>
        </w:rPr>
        <w:t>号）规定的划分标准；</w:t>
      </w:r>
    </w:p>
    <w:p w14:paraId="4953CE2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②提供本企业制造的货物、承担的工程或服务，或提供其他中小企业制造的货物。本项所称货物不包括使用大型企业注册商标的货物。小型、微型企业提供中型企业制造的货物，视同中型企业。</w:t>
      </w:r>
    </w:p>
    <w:p w14:paraId="144DCAF5">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14:paraId="32726C57">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①监狱企业参加采购活动时，应提供由省级以上监狱管理局、戒毒管理局（含新疆生产建设兵团）出具的属于监狱企业的证明文件。</w:t>
      </w:r>
    </w:p>
    <w:p w14:paraId="6C625661">
      <w:pPr>
        <w:pStyle w:val="5"/>
        <w:keepNext w:val="0"/>
        <w:keepLines w:val="0"/>
        <w:widowControl/>
        <w:suppressLineNumbers w:val="0"/>
        <w:spacing w:before="75" w:beforeAutospacing="0" w:after="240" w:afterAutospacing="0"/>
        <w:ind w:left="0" w:right="0" w:firstLine="480"/>
      </w:pPr>
      <w:r>
        <w:rPr>
          <w:rFonts w:hint="eastAsia" w:ascii="宋体" w:hAnsi="宋体" w:eastAsia="宋体" w:cs="宋体"/>
          <w:spacing w:val="0"/>
          <w:sz w:val="24"/>
          <w:szCs w:val="24"/>
        </w:rPr>
        <w:t>②监狱企业视同小型、微型企业。</w:t>
      </w:r>
      <w:r>
        <w:rPr>
          <w:rFonts w:hint="eastAsia" w:ascii="宋体" w:hAnsi="宋体" w:eastAsia="宋体" w:cs="宋体"/>
          <w:spacing w:val="0"/>
          <w:sz w:val="24"/>
          <w:szCs w:val="24"/>
        </w:rPr>
        <w:br w:type="textWrapping"/>
      </w:r>
    </w:p>
    <w:p w14:paraId="2A6522F0">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（3）残疾人福利性单位指同时符合下列条件的单位：</w:t>
      </w:r>
    </w:p>
    <w:p w14:paraId="18ACCDF7">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①安置的残疾人占本单位在职职工人数的比例不低于</w:t>
      </w:r>
      <w:r>
        <w:rPr>
          <w:rFonts w:hint="default" w:ascii="Calibri" w:hAnsi="Calibri" w:cs="Calibri"/>
          <w:spacing w:val="0"/>
          <w:sz w:val="24"/>
          <w:szCs w:val="24"/>
        </w:rPr>
        <w:t>25%</w:t>
      </w:r>
      <w:r>
        <w:rPr>
          <w:rFonts w:hint="eastAsia" w:ascii="宋体" w:hAnsi="宋体" w:eastAsia="宋体" w:cs="宋体"/>
          <w:spacing w:val="0"/>
          <w:sz w:val="24"/>
          <w:szCs w:val="24"/>
        </w:rPr>
        <w:t>（含</w:t>
      </w:r>
      <w:r>
        <w:rPr>
          <w:rFonts w:hint="default" w:ascii="Calibri" w:hAnsi="Calibri" w:cs="Calibri"/>
          <w:spacing w:val="0"/>
          <w:sz w:val="24"/>
          <w:szCs w:val="24"/>
        </w:rPr>
        <w:t>25%</w:t>
      </w:r>
      <w:r>
        <w:rPr>
          <w:rFonts w:hint="eastAsia" w:ascii="宋体" w:hAnsi="宋体" w:eastAsia="宋体" w:cs="宋体"/>
          <w:spacing w:val="0"/>
          <w:sz w:val="24"/>
          <w:szCs w:val="24"/>
        </w:rPr>
        <w:t>），并且安置的残疾人人数不少于</w:t>
      </w:r>
      <w:r>
        <w:rPr>
          <w:rFonts w:hint="default" w:ascii="Calibri" w:hAnsi="Calibri" w:cs="Calibri"/>
          <w:spacing w:val="0"/>
          <w:sz w:val="24"/>
          <w:szCs w:val="24"/>
        </w:rPr>
        <w:t>10</w:t>
      </w:r>
      <w:r>
        <w:rPr>
          <w:rFonts w:hint="eastAsia" w:ascii="宋体" w:hAnsi="宋体" w:eastAsia="宋体" w:cs="宋体"/>
          <w:spacing w:val="0"/>
          <w:sz w:val="24"/>
          <w:szCs w:val="24"/>
        </w:rPr>
        <w:t>人（含</w:t>
      </w:r>
      <w:r>
        <w:rPr>
          <w:rFonts w:hint="default" w:ascii="Calibri" w:hAnsi="Calibri" w:cs="Calibri"/>
          <w:spacing w:val="0"/>
          <w:sz w:val="24"/>
          <w:szCs w:val="24"/>
        </w:rPr>
        <w:t>10</w:t>
      </w:r>
      <w:r>
        <w:rPr>
          <w:rFonts w:hint="eastAsia" w:ascii="宋体" w:hAnsi="宋体" w:eastAsia="宋体" w:cs="宋体"/>
          <w:spacing w:val="0"/>
          <w:sz w:val="24"/>
          <w:szCs w:val="24"/>
        </w:rPr>
        <w:t>人）；</w:t>
      </w:r>
    </w:p>
    <w:p w14:paraId="692497A6">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②依法与安置的每位残疾人签订了一年以上（含一年）的劳动合同或服务协议；</w:t>
      </w:r>
    </w:p>
    <w:p w14:paraId="3FACA87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③为安置的每位残疾人按月足额缴纳了基本养老保险、基本医疗保险、失业保险、工伤保险和生育保险等社会保险费；</w:t>
      </w:r>
    </w:p>
    <w:p w14:paraId="356B410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④通过银行等金融机构向安置的每位残疾人，按月支付了不低于单位所在区县适用的经省级人民政府批准的月最低工资标准的工资；</w:t>
      </w:r>
    </w:p>
    <w:p w14:paraId="15E1CA7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⑤提供本单位制造的货物、承担的工程或服务，或提供其他残疾人福利性单位制造的货物（不包括使用非残疾人福利性单位注册商标的货物）。</w:t>
      </w:r>
    </w:p>
    <w:p w14:paraId="280615E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前款所称残疾人指法定劳动年龄内，持有《中华人民共和国残疾人证》或《中华人民共和国残疾军人证（1至</w:t>
      </w:r>
      <w:r>
        <w:rPr>
          <w:rFonts w:hint="default" w:ascii="Calibri" w:hAnsi="Calibri" w:cs="Calibri"/>
          <w:spacing w:val="0"/>
          <w:sz w:val="24"/>
          <w:szCs w:val="24"/>
        </w:rPr>
        <w:t>8</w:t>
      </w:r>
      <w:r>
        <w:rPr>
          <w:rFonts w:hint="eastAsia" w:ascii="宋体" w:hAnsi="宋体" w:eastAsia="宋体" w:cs="宋体"/>
          <w:spacing w:val="0"/>
          <w:sz w:val="24"/>
          <w:szCs w:val="24"/>
        </w:rPr>
        <w:t>级）》的自然人，包括具有劳动条件和劳动意愿的精神残疾人。在职职工人数是指与残疾人福利性单位建立劳动关系并依法签订劳动合同或服务协议的雇员人数。</w:t>
      </w:r>
    </w:p>
    <w:p w14:paraId="26B71928">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符合上述条件的残疾人福利性单位参加采购活动时，应提供《残疾人福利性单位声明函》，并对声明的真实性负责。残疾人福利性单位视同小型、微型企业。残疾人福利性单位属于小型、微型企业的，不重复享受政策。</w:t>
      </w:r>
    </w:p>
    <w:p w14:paraId="260AAF9E">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17.5信用记录指由财政部确定的有关网站提供的相关主体信用信息。信用记录的查询及使用应符合财政部文件（财库</w:t>
      </w:r>
      <w:r>
        <w:rPr>
          <w:rFonts w:hint="default" w:ascii="Calibri" w:hAnsi="Calibri" w:cs="Calibri"/>
          <w:spacing w:val="0"/>
          <w:sz w:val="24"/>
          <w:szCs w:val="24"/>
        </w:rPr>
        <w:t>[2016]125</w:t>
      </w:r>
      <w:r>
        <w:rPr>
          <w:rFonts w:hint="eastAsia" w:ascii="宋体" w:hAnsi="宋体" w:eastAsia="宋体" w:cs="宋体"/>
          <w:spacing w:val="0"/>
          <w:sz w:val="24"/>
          <w:szCs w:val="24"/>
        </w:rPr>
        <w:t>号）规定。</w:t>
      </w:r>
    </w:p>
    <w:p w14:paraId="09D760F7">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17.6为落实政府采购政策需满足的要求：详见招标文件第一章。</w:t>
      </w:r>
    </w:p>
    <w:p w14:paraId="09CD910C">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4FB2A2BE">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九、本项目的有关信息</w:t>
      </w:r>
    </w:p>
    <w:p w14:paraId="6497501D">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18、本项目的有关信息，包括但不限于：招标公告、更正公告（若有）、招标文件、招标文件的澄清或修改（若有）、中标公告、终止公告（若有）、废标公告（若有）等都将在招标文件载明的指定媒体发布。</w:t>
      </w:r>
    </w:p>
    <w:p w14:paraId="2E6F5BBD">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18.1指定媒体：详见招标文件第二章。</w:t>
      </w:r>
    </w:p>
    <w:p w14:paraId="336D7F65">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18.2本项目的潜在投标人或投标人应随时关注指定媒体，否则产生不利后果由其自行承担。</w:t>
      </w:r>
    </w:p>
    <w:p w14:paraId="121B0442">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4CB92179">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十、其他事项</w:t>
      </w:r>
    </w:p>
    <w:p w14:paraId="4E4AA3C1">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19、其他事项：详见招标文件第二章。</w:t>
      </w:r>
    </w:p>
    <w:p w14:paraId="07618762">
      <w:pPr>
        <w:pStyle w:val="5"/>
        <w:keepNext w:val="0"/>
        <w:keepLines w:val="0"/>
        <w:widowControl/>
        <w:suppressLineNumbers w:val="0"/>
        <w:spacing w:before="75" w:beforeAutospacing="0" w:after="75" w:afterAutospacing="0"/>
        <w:ind w:left="0" w:right="0" w:firstLine="0"/>
        <w:jc w:val="center"/>
      </w:pPr>
      <w:r>
        <w:rPr>
          <w:spacing w:val="0"/>
          <w:sz w:val="24"/>
          <w:szCs w:val="24"/>
        </w:rPr>
        <w:t> </w:t>
      </w:r>
    </w:p>
    <w:p w14:paraId="2EB30FE2">
      <w:pPr>
        <w:pStyle w:val="5"/>
        <w:keepNext w:val="0"/>
        <w:keepLines w:val="0"/>
        <w:widowControl/>
        <w:suppressLineNumbers w:val="0"/>
        <w:shd w:val="clear" w:fill="FFFFFF"/>
        <w:spacing w:before="75" w:beforeAutospacing="0" w:after="75" w:afterAutospacing="0"/>
        <w:ind w:left="0" w:right="0" w:firstLine="0"/>
        <w:rPr>
          <w:rFonts w:hint="eastAsia" w:ascii="微软雅黑" w:hAnsi="微软雅黑" w:eastAsia="微软雅黑" w:cs="微软雅黑"/>
          <w:i w:val="0"/>
          <w:caps w:val="0"/>
          <w:color w:val="393939"/>
          <w:spacing w:val="0"/>
          <w:sz w:val="19"/>
          <w:szCs w:val="19"/>
        </w:rPr>
      </w:pPr>
      <w:r>
        <w:rPr>
          <w:rFonts w:hint="eastAsia" w:ascii="微软雅黑" w:hAnsi="微软雅黑" w:eastAsia="微软雅黑" w:cs="微软雅黑"/>
          <w:i w:val="0"/>
          <w:caps w:val="0"/>
          <w:color w:val="393939"/>
          <w:spacing w:val="0"/>
          <w:sz w:val="24"/>
          <w:szCs w:val="24"/>
          <w:shd w:val="clear" w:fill="FFFFFF"/>
        </w:rPr>
        <w:t> </w:t>
      </w:r>
    </w:p>
    <w:p w14:paraId="31F60F9F">
      <w:pPr>
        <w:pStyle w:val="5"/>
        <w:keepNext w:val="0"/>
        <w:keepLines w:val="0"/>
        <w:widowControl/>
        <w:suppressLineNumbers w:val="0"/>
        <w:spacing w:before="75" w:beforeAutospacing="0" w:after="240" w:afterAutospacing="0"/>
        <w:ind w:left="0" w:right="0" w:firstLine="0"/>
      </w:pPr>
      <w:r>
        <w:rPr>
          <w:rFonts w:hint="default" w:ascii="Calibri" w:hAnsi="Calibri" w:cs="Calibri"/>
          <w:spacing w:val="0"/>
          <w:sz w:val="24"/>
          <w:szCs w:val="24"/>
        </w:rPr>
        <w:t> </w:t>
      </w:r>
    </w:p>
    <w:p w14:paraId="1CFE268B">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5FF0D9FD">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257F9B42">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6AFD7DC9">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1407A2EA">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40753E92">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6208D438">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1B22812D">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4747F048">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7DFC7E97">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31"/>
          <w:szCs w:val="31"/>
        </w:rPr>
        <w:t>第四章   资格审查与评标</w:t>
      </w:r>
    </w:p>
    <w:p w14:paraId="24983CF8">
      <w:pPr>
        <w:pStyle w:val="5"/>
        <w:keepNext w:val="0"/>
        <w:keepLines w:val="0"/>
        <w:widowControl/>
        <w:suppressLineNumbers w:val="0"/>
        <w:spacing w:before="75" w:beforeAutospacing="0" w:after="75" w:afterAutospacing="0"/>
        <w:ind w:left="0" w:right="0" w:firstLine="0"/>
        <w:jc w:val="center"/>
      </w:pPr>
      <w:r>
        <w:rPr>
          <w:spacing w:val="0"/>
          <w:sz w:val="24"/>
          <w:szCs w:val="24"/>
        </w:rPr>
        <w:t> </w:t>
      </w:r>
    </w:p>
    <w:p w14:paraId="74152AB1">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05478869">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一、资格审查</w:t>
      </w:r>
    </w:p>
    <w:p w14:paraId="7E85BAA2">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1、开标结束后，由</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负责资格审查小组的组建及资格审查工作的组织。</w:t>
      </w:r>
    </w:p>
    <w:p w14:paraId="0A459732">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1.1资格审查小组由</w:t>
      </w:r>
      <w:r>
        <w:rPr>
          <w:rFonts w:hint="default" w:ascii="Calibri" w:hAnsi="Calibri" w:cs="Calibri"/>
          <w:spacing w:val="0"/>
          <w:sz w:val="24"/>
          <w:szCs w:val="24"/>
        </w:rPr>
        <w:t>3</w:t>
      </w:r>
      <w:r>
        <w:rPr>
          <w:rFonts w:hint="eastAsia" w:ascii="宋体" w:hAnsi="宋体" w:eastAsia="宋体" w:cs="宋体"/>
          <w:spacing w:val="0"/>
          <w:sz w:val="24"/>
          <w:szCs w:val="24"/>
        </w:rPr>
        <w:t>人组成，并负责具体审查事务，其中：由采购人派出的采购人代表至少</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人，由</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派出的工作人员至少</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人，其余</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人可为采购人代表或</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的工作人员。</w:t>
      </w:r>
    </w:p>
    <w:p w14:paraId="7ADD57C5">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1.2资格审查的依据是招标文件和投标文件。</w:t>
      </w:r>
    </w:p>
    <w:p w14:paraId="10BCAE00">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1.3资格审查的范围及内容：投标文件（资格及资信证明部分），具体如下：</w:t>
      </w:r>
    </w:p>
    <w:p w14:paraId="0961D4A6">
      <w:pPr>
        <w:pStyle w:val="5"/>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  （1）</w:t>
      </w:r>
      <w:r>
        <w:rPr>
          <w:rFonts w:hint="eastAsia" w:ascii="宋体" w:hAnsi="宋体" w:eastAsia="宋体" w:cs="宋体"/>
          <w:spacing w:val="0"/>
        </w:rPr>
        <w:t>“投标函”；</w:t>
      </w:r>
      <w:r>
        <w:rPr>
          <w:rFonts w:hint="eastAsia" w:ascii="宋体" w:hAnsi="宋体" w:eastAsia="宋体" w:cs="宋体"/>
          <w:spacing w:val="0"/>
        </w:rPr>
        <w:br w:type="textWrapping"/>
      </w:r>
      <w:r>
        <w:rPr>
          <w:rFonts w:hint="eastAsia" w:ascii="宋体" w:hAnsi="宋体" w:eastAsia="宋体" w:cs="宋体"/>
          <w:spacing w:val="0"/>
        </w:rPr>
        <w:t>  （2）“投标人的资格及资信证明文件”</w:t>
      </w:r>
      <w:r>
        <w:rPr>
          <w:rFonts w:hint="eastAsia" w:ascii="宋体" w:hAnsi="宋体" w:eastAsia="宋体" w:cs="宋体"/>
          <w:spacing w:val="0"/>
        </w:rPr>
        <w:br w:type="textWrapping"/>
      </w:r>
      <w:r>
        <w:rPr>
          <w:rFonts w:hint="eastAsia" w:ascii="宋体" w:hAnsi="宋体" w:eastAsia="宋体" w:cs="宋体"/>
          <w:spacing w:val="0"/>
        </w:rPr>
        <w:t>   </w:t>
      </w:r>
      <w:r>
        <w:rPr>
          <w:rFonts w:hint="eastAsia" w:ascii="宋体" w:hAnsi="宋体" w:eastAsia="宋体" w:cs="宋体"/>
        </w:rPr>
        <w:t>①</w:t>
      </w:r>
      <w:r>
        <w:rPr>
          <w:rFonts w:hint="eastAsia" w:ascii="宋体" w:hAnsi="宋体" w:eastAsia="宋体" w:cs="宋体"/>
          <w:spacing w:val="0"/>
        </w:rPr>
        <w:t>一般资格证明文件：</w:t>
      </w:r>
    </w:p>
    <w:tbl>
      <w:tblPr>
        <w:tblStyle w:val="6"/>
        <w:tblW w:w="8322"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14:paraId="7DA628D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600A8962">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347FF4FF">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14:paraId="1A47B5D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2EB25A34">
            <w:pPr>
              <w:keepNext w:val="0"/>
              <w:keepLines w:val="0"/>
              <w:widowControl/>
              <w:suppressLineNumbers w:val="0"/>
              <w:jc w:val="left"/>
            </w:pPr>
            <w:r>
              <w:rPr>
                <w:rFonts w:ascii="宋体" w:hAnsi="宋体" w:eastAsia="宋体" w:cs="宋体"/>
                <w:kern w:val="0"/>
                <w:sz w:val="24"/>
                <w:szCs w:val="24"/>
                <w:lang w:val="en-US" w:eastAsia="zh-CN" w:bidi="ar"/>
              </w:rPr>
              <w:t>单位负责人授权书（若有）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7A1D1303">
            <w:pPr>
              <w:keepNext w:val="0"/>
              <w:keepLines w:val="0"/>
              <w:widowControl/>
              <w:suppressLineNumbers w:val="0"/>
              <w:jc w:val="left"/>
            </w:pPr>
            <w:r>
              <w:rPr>
                <w:rFonts w:ascii="宋体" w:hAnsi="宋体" w:eastAsia="宋体" w:cs="宋体"/>
                <w:kern w:val="0"/>
                <w:sz w:val="24"/>
                <w:szCs w:val="24"/>
                <w:lang w:val="en-US" w:eastAsia="zh-CN" w:bidi="ar"/>
              </w:rPr>
              <w:t>1、企业（银行、保险、石油石化、电力、电信等行业除外）、事业单位和社会团体法人的“单位负责人”指法定代表人，即与实际提交的“营业执照等证明文件”载明的一致。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3、投标人（自然人除外）：若投标人代表为单位负责人授权的委托代理人，应提供本授权书；若投标人代表为单位负责人，应在此项下提交其身份证正反面复印件，可不提供本授权书。4、投标人为自然人的，可不填写本授权书。5、纸质投标文件正本中的本授权书（若有）应为原件。※投标人应按照招标文件第七章规定提供。</w:t>
            </w:r>
          </w:p>
        </w:tc>
      </w:tr>
      <w:tr w14:paraId="0361330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134872F2">
            <w:pPr>
              <w:keepNext w:val="0"/>
              <w:keepLines w:val="0"/>
              <w:widowControl/>
              <w:suppressLineNumbers w:val="0"/>
              <w:jc w:val="left"/>
            </w:pPr>
            <w:r>
              <w:rPr>
                <w:rFonts w:ascii="宋体" w:hAnsi="宋体" w:eastAsia="宋体" w:cs="宋体"/>
                <w:kern w:val="0"/>
                <w:sz w:val="24"/>
                <w:szCs w:val="24"/>
                <w:lang w:val="en-US" w:eastAsia="zh-CN" w:bidi="ar"/>
              </w:rPr>
              <w:t>营业执照等证明文件</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01B2E965">
            <w:pPr>
              <w:keepNext w:val="0"/>
              <w:keepLines w:val="0"/>
              <w:widowControl/>
              <w:suppressLineNumbers w:val="0"/>
              <w:jc w:val="left"/>
            </w:pPr>
            <w:r>
              <w:rPr>
                <w:rFonts w:ascii="宋体" w:hAnsi="宋体" w:eastAsia="宋体" w:cs="宋体"/>
                <w:kern w:val="0"/>
                <w:sz w:val="24"/>
                <w:szCs w:val="24"/>
                <w:lang w:val="en-US" w:eastAsia="zh-CN" w:bidi="ar"/>
              </w:rPr>
              <w:t>1、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2、投标人提供的相应证明材料复印件均应符合：内容完整、清晰、整洁，并由投标人加盖其单位公章。※投标人应按照招标文件第七章规定提供。</w:t>
            </w:r>
          </w:p>
        </w:tc>
      </w:tr>
      <w:tr w14:paraId="1A40146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3ADE154F">
            <w:pPr>
              <w:keepNext w:val="0"/>
              <w:keepLines w:val="0"/>
              <w:widowControl/>
              <w:suppressLineNumbers w:val="0"/>
              <w:jc w:val="left"/>
            </w:pPr>
            <w:r>
              <w:rPr>
                <w:rFonts w:ascii="宋体" w:hAnsi="宋体" w:eastAsia="宋体" w:cs="宋体"/>
                <w:kern w:val="0"/>
                <w:sz w:val="24"/>
                <w:szCs w:val="24"/>
                <w:lang w:val="en-US" w:eastAsia="zh-CN" w:bidi="ar"/>
              </w:rPr>
              <w:t>财务状况报告（财务报告、或资信证明、或投标担保函）</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2A2DD7BC">
            <w:pPr>
              <w:keepNext w:val="0"/>
              <w:keepLines w:val="0"/>
              <w:widowControl/>
              <w:suppressLineNumbers w:val="0"/>
              <w:jc w:val="left"/>
            </w:pPr>
            <w:r>
              <w:rPr>
                <w:rFonts w:ascii="宋体" w:hAnsi="宋体" w:eastAsia="宋体" w:cs="宋体"/>
                <w:kern w:val="0"/>
                <w:sz w:val="24"/>
                <w:szCs w:val="24"/>
                <w:lang w:val="en-US" w:eastAsia="zh-CN" w:bidi="ar"/>
              </w:rPr>
              <w:t>1、投标人提供的财务报告复印件（成立年限按照投标截止时间推算）应符合下列规定：1.1成立年限满1年及以上的投标人，提供经审计的上一年度的年度财务报告。1.2成立年限满半年但不足1年的投标人，提供该半年度中任一季度的季度财务报告或该半年度的半年度财务报告。※无法按照第1.1、1.2条规定提供财务报告复印件的投标人（包括但不限于：成立年限满1年及以上的投标人、成立年限满半年但不足1年的投标人、成立年限不足半年的投标人），应选择提供资信证明复印件或投标担保函复印件，其中：非自然人的投标人选择提供资信证明的，还应附上其开户（基本存款账户）许可证复印件。 2、“财政部门认可的政府采购专业担保机构”应符合《财政部关于开展政府采购信用担保试点工作方案》（财库[2012]124号）的规定。3、投标人提供的相应证明材料复印件均应符合：内容完整、清晰、整洁，并由投标人加盖其单位公章。※投标人应按照招标文件第七章规定提供。</w:t>
            </w:r>
          </w:p>
        </w:tc>
      </w:tr>
      <w:tr w14:paraId="58026A7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4B20A9CA">
            <w:pPr>
              <w:keepNext w:val="0"/>
              <w:keepLines w:val="0"/>
              <w:widowControl/>
              <w:suppressLineNumbers w:val="0"/>
              <w:jc w:val="left"/>
            </w:pPr>
            <w:r>
              <w:rPr>
                <w:rFonts w:ascii="宋体" w:hAnsi="宋体" w:eastAsia="宋体" w:cs="宋体"/>
                <w:kern w:val="0"/>
                <w:sz w:val="24"/>
                <w:szCs w:val="24"/>
                <w:lang w:val="en-US" w:eastAsia="zh-CN" w:bidi="ar"/>
              </w:rPr>
              <w:t>依法缴纳税收证明材料</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5CCCEF75">
            <w:pPr>
              <w:keepNext w:val="0"/>
              <w:keepLines w:val="0"/>
              <w:widowControl/>
              <w:suppressLineNumbers w:val="0"/>
              <w:jc w:val="left"/>
            </w:pPr>
            <w:r>
              <w:rPr>
                <w:rFonts w:ascii="宋体" w:hAnsi="宋体" w:eastAsia="宋体" w:cs="宋体"/>
                <w:kern w:val="0"/>
                <w:sz w:val="24"/>
                <w:szCs w:val="24"/>
                <w:lang w:val="en-US" w:eastAsia="zh-CN" w:bidi="ar"/>
              </w:rPr>
              <w:t>1、投标人提供的税收凭据复印件应符合下列规定：1.1投标截止时间前（不含投标截止时间的当月）已依法缴纳税收的投标人，提供投标截止时间前六个月（不含投标截止时间的当月）中任一月份的税收凭据复印件。1.2投标截止时间的当月成立且已依法缴纳税收的投标人，提供投标截止时间当月的税收凭据复印件。1.3投标截止时间的当月成立但因税务机关原因导致其尚未依法缴纳税收的投标人，提供依法缴纳税收承诺书原件（格式自拟），该承诺书视同税收凭据。2、“依法缴纳税收证明材料”有欠缴记录的，视为未依法缴纳税收。3、投标人提供的相应证明材料复印件均应符合：内容完整、清晰、整洁，并由投标人加盖其单位公章。※投标人应按照招标文件第七章规定提供。</w:t>
            </w:r>
          </w:p>
        </w:tc>
      </w:tr>
      <w:tr w14:paraId="09008F2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641AB069">
            <w:pPr>
              <w:keepNext w:val="0"/>
              <w:keepLines w:val="0"/>
              <w:widowControl/>
              <w:suppressLineNumbers w:val="0"/>
              <w:jc w:val="left"/>
            </w:pPr>
            <w:r>
              <w:rPr>
                <w:rFonts w:ascii="宋体" w:hAnsi="宋体" w:eastAsia="宋体" w:cs="宋体"/>
                <w:kern w:val="0"/>
                <w:sz w:val="24"/>
                <w:szCs w:val="24"/>
                <w:lang w:val="en-US" w:eastAsia="zh-CN" w:bidi="ar"/>
              </w:rPr>
              <w:t>依法缴纳社会保障资金证明材料</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26C77DBA">
            <w:pPr>
              <w:keepNext w:val="0"/>
              <w:keepLines w:val="0"/>
              <w:widowControl/>
              <w:suppressLineNumbers w:val="0"/>
              <w:jc w:val="left"/>
            </w:pPr>
            <w:r>
              <w:rPr>
                <w:rFonts w:ascii="宋体" w:hAnsi="宋体" w:eastAsia="宋体" w:cs="宋体"/>
                <w:kern w:val="0"/>
                <w:sz w:val="24"/>
                <w:szCs w:val="24"/>
                <w:lang w:val="en-US" w:eastAsia="zh-CN" w:bidi="ar"/>
              </w:rPr>
              <w:t>1、投标人提供的社会保险凭据复印件应符合下列规定：1.1投标截止时间前（不含投标截止时间的当月）已依法缴纳社会保障资金的投标人，提供投标截止时间前六个月（不含投标截止时间的当月）中任一月份的社会保险凭据复印件。1.2投标截止时间的当月成立且已依法缴纳社会保障资金的投标人，提供投标截止时间当月的社会保险凭据复印件。1.3投标截止时间的当月成立但因税务机关/社会保障资金管理机关原因导致其尚未依法缴纳社会保障资金的投标人，提供依法缴纳社会保障资金承诺书原件（格式自拟），该承诺书视同社会保险凭据。2、“依法缴纳社会保障资金证明材料”有欠缴记录的，视为未依法缴纳社会保障资金。3、投标人提供的相应证明材料复印件均应符合：内容完整、清晰、整洁，并由投标人加盖其单位公章。※投标人应按照招标文件第七章规定提供。</w:t>
            </w:r>
          </w:p>
        </w:tc>
      </w:tr>
      <w:tr w14:paraId="52F5C73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60BC2BBE">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具备履行合同所必需设备和专业技术能力的声明函（若有）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3921CBCD">
            <w:pPr>
              <w:keepNext w:val="0"/>
              <w:keepLines w:val="0"/>
              <w:widowControl/>
              <w:suppressLineNumbers w:val="0"/>
              <w:jc w:val="left"/>
            </w:pPr>
            <w:r>
              <w:rPr>
                <w:rFonts w:ascii="宋体" w:hAnsi="宋体" w:eastAsia="宋体" w:cs="宋体"/>
                <w:kern w:val="0"/>
                <w:sz w:val="24"/>
                <w:szCs w:val="24"/>
                <w:lang w:val="en-US" w:eastAsia="zh-CN" w:bidi="ar"/>
              </w:rPr>
              <w:t>1、招标文件未要求投标人提供“具备履行合同所必需的设备和专业技术能力专项证明材料”的，投标人应提供本声明函。2、招标文件要求投标人提供“具备履行合同所必需的设备和专业技术能力专项证明材料”的，投标人可不提供本声明函。3、纸质投标文件正本中的本声明函（若有）应为原件。※投标人应按照招标文件第七章规定提供。</w:t>
            </w:r>
          </w:p>
        </w:tc>
      </w:tr>
      <w:tr w14:paraId="0252C33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7CF5E2FD">
            <w:pPr>
              <w:keepNext w:val="0"/>
              <w:keepLines w:val="0"/>
              <w:widowControl/>
              <w:suppressLineNumbers w:val="0"/>
              <w:jc w:val="left"/>
            </w:pPr>
            <w:r>
              <w:rPr>
                <w:rFonts w:ascii="宋体" w:hAnsi="宋体" w:eastAsia="宋体" w:cs="宋体"/>
                <w:kern w:val="0"/>
                <w:sz w:val="24"/>
                <w:szCs w:val="24"/>
                <w:lang w:val="en-US" w:eastAsia="zh-CN" w:bidi="ar"/>
              </w:rPr>
              <w:t>参加采购活动前三年内在经营活动中没有重大违法记录书面声明</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4674913F">
            <w:pPr>
              <w:keepNext w:val="0"/>
              <w:keepLines w:val="0"/>
              <w:widowControl/>
              <w:suppressLineNumbers w:val="0"/>
              <w:jc w:val="left"/>
            </w:pPr>
            <w:r>
              <w:rPr>
                <w:rFonts w:ascii="宋体" w:hAnsi="宋体" w:eastAsia="宋体" w:cs="宋体"/>
                <w:kern w:val="0"/>
                <w:sz w:val="24"/>
                <w:szCs w:val="24"/>
                <w:lang w:val="en-US" w:eastAsia="zh-CN" w:bidi="ar"/>
              </w:rPr>
              <w:t>1、“重大违法记录”指投标人因违法经营受到刑事处罚或责令停产停业、吊销许可证或执照、较大数额罚款等行政处罚。2、无法提供有效期内检察机关行贿犯罪档案查询结果告知函的，也应对近三年无行贿犯罪记录进行声明。3、纸质投标文件正本中的本声明应为原件。※投标人应按照招标文件第七章规定提供。</w:t>
            </w:r>
          </w:p>
        </w:tc>
      </w:tr>
      <w:tr w14:paraId="6BC9A13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46DF941F">
            <w:pPr>
              <w:keepNext w:val="0"/>
              <w:keepLines w:val="0"/>
              <w:widowControl/>
              <w:suppressLineNumbers w:val="0"/>
              <w:jc w:val="left"/>
            </w:pPr>
            <w:r>
              <w:rPr>
                <w:rFonts w:ascii="宋体" w:hAnsi="宋体" w:eastAsia="宋体" w:cs="宋体"/>
                <w:kern w:val="0"/>
                <w:sz w:val="24"/>
                <w:szCs w:val="24"/>
                <w:lang w:val="en-US" w:eastAsia="zh-CN" w:bidi="ar"/>
              </w:rPr>
              <w:t>信用记录查询结果</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4082E281">
            <w:pPr>
              <w:keepNext w:val="0"/>
              <w:keepLines w:val="0"/>
              <w:widowControl/>
              <w:suppressLineNumbers w:val="0"/>
              <w:jc w:val="left"/>
            </w:pPr>
            <w:r>
              <w:rPr>
                <w:rFonts w:ascii="宋体" w:hAnsi="宋体" w:eastAsia="宋体" w:cs="宋体"/>
                <w:kern w:val="0"/>
                <w:sz w:val="24"/>
                <w:szCs w:val="24"/>
                <w:lang w:val="en-US" w:eastAsia="zh-CN" w:bidi="ar"/>
              </w:rPr>
              <w:t>投标人应在招标文件要求的截止时点前分别通过“信用中国”网站（www.creditchina.gov.cn）、中国政府采购网（www.ccgp.gov.cn）查询并打印相应的信用记录，投标人提供的查询结果应为其通过上述网站获取的信用信息查询结果原始页面的打印件（或截图）。※投标人应按照招标文件第七章规定提供。</w:t>
            </w:r>
          </w:p>
        </w:tc>
      </w:tr>
      <w:tr w14:paraId="2819FCB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189A2DC3">
            <w:pPr>
              <w:keepNext w:val="0"/>
              <w:keepLines w:val="0"/>
              <w:widowControl/>
              <w:suppressLineNumbers w:val="0"/>
              <w:jc w:val="left"/>
            </w:pPr>
            <w:r>
              <w:rPr>
                <w:rFonts w:ascii="宋体" w:hAnsi="宋体" w:eastAsia="宋体" w:cs="宋体"/>
                <w:kern w:val="0"/>
                <w:sz w:val="24"/>
                <w:szCs w:val="24"/>
                <w:lang w:val="en-US" w:eastAsia="zh-CN" w:bidi="ar"/>
              </w:rPr>
              <w:t>中小企业声明函（专门面向中小企业或小型、微型企业适用，若有）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6B2C7F42">
            <w:pPr>
              <w:keepNext w:val="0"/>
              <w:keepLines w:val="0"/>
              <w:widowControl/>
              <w:suppressLineNumbers w:val="0"/>
              <w:jc w:val="left"/>
            </w:pPr>
            <w:r>
              <w:rPr>
                <w:rFonts w:ascii="宋体" w:hAnsi="宋体" w:eastAsia="宋体" w:cs="宋体"/>
                <w:kern w:val="0"/>
                <w:sz w:val="24"/>
                <w:szCs w:val="24"/>
                <w:lang w:val="en-US" w:eastAsia="zh-CN" w:bidi="ar"/>
              </w:rPr>
              <w:t>1、投标人应认真对照《工业和信息化部、国家统计局、国家发展和改革委员会、财政部关于印发中小企业划型标准规定的通知》（工信部联企业[2011]300号）规定的划分标准，并按照《国家统计局关于印发统计上大中小微型企业划分办法的通知》（国统字[2011]75号）规定准确划分企业类型。2、投标人为监狱企业的，可不填写本声明函，根据其提供的由省级以上监狱管理局、戒毒管理局（含新疆生产建设兵团）出具的属于监狱企业的证明文件进行认定，监狱企业视同小型、微型企业。3、投标人为残疾人福利性单位的，可不填写本声明函，根据其提供的《残疾人福利性单位声明函》进行认定，残疾人福利性单位视同小型、微型企业。4、纸质投标文件正本中的本声明函（若有）应为原件。※投标人应按照招标文件第七章规定提供。</w:t>
            </w:r>
          </w:p>
        </w:tc>
      </w:tr>
      <w:tr w14:paraId="500FD12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1839F482">
            <w:pPr>
              <w:keepNext w:val="0"/>
              <w:keepLines w:val="0"/>
              <w:widowControl/>
              <w:suppressLineNumbers w:val="0"/>
              <w:jc w:val="left"/>
            </w:pPr>
            <w:r>
              <w:rPr>
                <w:rFonts w:ascii="宋体" w:hAnsi="宋体" w:eastAsia="宋体" w:cs="宋体"/>
                <w:kern w:val="0"/>
                <w:sz w:val="24"/>
                <w:szCs w:val="24"/>
                <w:lang w:val="en-US" w:eastAsia="zh-CN" w:bidi="ar"/>
              </w:rPr>
              <w:t>联合体协议（若有）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2A745EF7">
            <w:pPr>
              <w:keepNext w:val="0"/>
              <w:keepLines w:val="0"/>
              <w:widowControl/>
              <w:suppressLineNumbers w:val="0"/>
              <w:jc w:val="left"/>
            </w:pPr>
            <w:r>
              <w:rPr>
                <w:rFonts w:ascii="宋体" w:hAnsi="宋体" w:eastAsia="宋体" w:cs="宋体"/>
                <w:kern w:val="0"/>
                <w:sz w:val="24"/>
                <w:szCs w:val="24"/>
                <w:lang w:val="en-US" w:eastAsia="zh-CN" w:bidi="ar"/>
              </w:rPr>
              <w:t>1、招标文件接受联合体投标且投标人为联合体的，投标人应提供本协议；否则无须提供。2、本协议由委托代理人签字或盖章的，应按照招标文件第七章载明的格式提供“单位负责人授权书”。3、纸质投标文件正本中的本协议（若有）应为原件。※投标人应按照招标文件第七章规定提供。</w:t>
            </w:r>
          </w:p>
        </w:tc>
      </w:tr>
      <w:tr w14:paraId="07CE283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0DF300A9">
            <w:pPr>
              <w:keepNext w:val="0"/>
              <w:keepLines w:val="0"/>
              <w:widowControl/>
              <w:suppressLineNumbers w:val="0"/>
              <w:jc w:val="left"/>
            </w:pPr>
            <w:r>
              <w:rPr>
                <w:rFonts w:ascii="宋体" w:hAnsi="宋体" w:eastAsia="宋体" w:cs="宋体"/>
                <w:kern w:val="0"/>
                <w:sz w:val="24"/>
                <w:szCs w:val="24"/>
                <w:lang w:val="en-US" w:eastAsia="zh-CN" w:bidi="ar"/>
              </w:rPr>
              <w:t>检察机关行贿犯罪档案查询结果告知函（若有）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0CF520EF">
            <w:pPr>
              <w:keepNext w:val="0"/>
              <w:keepLines w:val="0"/>
              <w:widowControl/>
              <w:suppressLineNumbers w:val="0"/>
              <w:jc w:val="left"/>
            </w:pPr>
            <w:r>
              <w:rPr>
                <w:rFonts w:ascii="宋体" w:hAnsi="宋体" w:eastAsia="宋体" w:cs="宋体"/>
                <w:kern w:val="0"/>
                <w:sz w:val="24"/>
                <w:szCs w:val="24"/>
                <w:lang w:val="en-US" w:eastAsia="zh-CN" w:bidi="ar"/>
              </w:rPr>
              <w:t>1、未提供行贿犯罪档案查询结果或查询结果表明投标人有行贿犯罪记录的，投标无效。2、无法提供有效期内检察机关行贿犯罪档案查询结果告知函的，也应对近三年无行贿犯罪记录进行声明。3、告知函应在有效期内且内容完整、清晰、整洁，否则投标无效。4、有效期内的告知函复印件（含扫描件）及符合招标文件第七章规定的打印件（或截图），无论内容中是否注明“复印件无效”，均视同有效。5、无法获取有效期内检察机关行贿犯罪档案查询结果告知函的，应在a7《参加采购活动前三年内在经营活动中没有重大违法记录书面声明》中对近三年无行贿犯罪记录进行声明。※投标人应按照招标文件第七章规定提供。</w:t>
            </w:r>
          </w:p>
        </w:tc>
      </w:tr>
    </w:tbl>
    <w:p w14:paraId="33A47A6A">
      <w:pPr>
        <w:keepNext w:val="0"/>
        <w:keepLines w:val="0"/>
        <w:widowControl/>
        <w:suppressLineNumbers w:val="0"/>
        <w:jc w:val="left"/>
        <w:rPr>
          <w:rFonts w:hint="eastAsia" w:ascii="宋体" w:hAnsi="宋体" w:eastAsia="宋体" w:cs="宋体"/>
          <w:spacing w:val="0"/>
          <w:kern w:val="0"/>
          <w:sz w:val="24"/>
          <w:szCs w:val="24"/>
          <w:lang w:val="en-US" w:eastAsia="zh-CN" w:bidi="ar"/>
        </w:rPr>
      </w:pPr>
      <w:r>
        <w:rPr>
          <w:rFonts w:ascii="宋体" w:hAnsi="宋体" w:eastAsia="宋体" w:cs="宋体"/>
          <w:kern w:val="0"/>
          <w:sz w:val="24"/>
          <w:szCs w:val="24"/>
          <w:lang w:val="en-US" w:eastAsia="zh-CN" w:bidi="ar"/>
        </w:rPr>
        <w:br w:type="textWrapping"/>
      </w:r>
      <w:r>
        <w:rPr>
          <w:rFonts w:hint="eastAsia" w:ascii="宋体" w:hAnsi="宋体" w:eastAsia="宋体" w:cs="宋体"/>
          <w:spacing w:val="0"/>
          <w:kern w:val="0"/>
          <w:sz w:val="24"/>
          <w:szCs w:val="24"/>
          <w:lang w:val="en-US" w:eastAsia="zh-CN" w:bidi="ar"/>
        </w:rPr>
        <w:t>   </w:t>
      </w:r>
    </w:p>
    <w:p w14:paraId="153CC420">
      <w:pPr>
        <w:keepNext w:val="0"/>
        <w:keepLines w:val="0"/>
        <w:widowControl/>
        <w:suppressLineNumbers w:val="0"/>
        <w:jc w:val="left"/>
        <w:rPr>
          <w:rFonts w:hint="eastAsia" w:ascii="宋体" w:hAnsi="宋体" w:eastAsia="宋体" w:cs="宋体"/>
          <w:spacing w:val="0"/>
          <w:kern w:val="0"/>
          <w:sz w:val="24"/>
          <w:szCs w:val="24"/>
          <w:lang w:val="en-US" w:eastAsia="zh-CN" w:bidi="ar"/>
        </w:rPr>
      </w:pPr>
    </w:p>
    <w:p w14:paraId="11A01FAE">
      <w:pPr>
        <w:keepNext w:val="0"/>
        <w:keepLines w:val="0"/>
        <w:widowControl/>
        <w:suppressLineNumbers w:val="0"/>
        <w:jc w:val="left"/>
      </w:pPr>
      <w:r>
        <w:rPr>
          <w:rFonts w:hint="eastAsia" w:ascii="宋体" w:hAnsi="宋体" w:eastAsia="宋体" w:cs="宋体"/>
          <w:spacing w:val="0"/>
          <w:kern w:val="0"/>
          <w:sz w:val="24"/>
          <w:szCs w:val="24"/>
          <w:lang w:val="en-US" w:eastAsia="zh-CN" w:bidi="ar"/>
        </w:rPr>
        <w:t>②.其他资格证明文件：</w:t>
      </w:r>
    </w:p>
    <w:p w14:paraId="1DB72ACA">
      <w:pPr>
        <w:pStyle w:val="5"/>
        <w:keepNext w:val="0"/>
        <w:keepLines w:val="0"/>
        <w:widowControl/>
        <w:suppressLineNumbers w:val="0"/>
        <w:spacing w:before="75" w:beforeAutospacing="0" w:after="75" w:afterAutospacing="0"/>
        <w:ind w:left="0" w:right="0" w:firstLine="480"/>
      </w:pPr>
      <w:r>
        <w:rPr>
          <w:rStyle w:val="8"/>
          <w:b/>
          <w:spacing w:val="0"/>
          <w:sz w:val="24"/>
          <w:szCs w:val="24"/>
        </w:rPr>
        <w:t>包：1</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14:paraId="4801E88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31D47E97">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5497D340">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14:paraId="138CD5B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120AABEB">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0C4B59D3">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14:paraId="21D9000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392805E2">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09F333DC">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14:paraId="406D1685">
      <w:pPr>
        <w:keepNext w:val="0"/>
        <w:keepLines w:val="0"/>
        <w:widowControl/>
        <w:suppressLineNumbers w:val="0"/>
        <w:jc w:val="left"/>
      </w:pPr>
      <w:r>
        <w:rPr>
          <w:rStyle w:val="8"/>
          <w:rFonts w:ascii="宋体" w:hAnsi="宋体" w:eastAsia="宋体" w:cs="宋体"/>
          <w:b/>
          <w:kern w:val="0"/>
          <w:sz w:val="24"/>
          <w:szCs w:val="24"/>
          <w:lang w:val="en-US" w:eastAsia="zh-CN" w:bidi="ar"/>
        </w:rPr>
        <w:t>包：2</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14:paraId="6967BEA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03DC0A90">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4FFE0E7D">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14:paraId="56515D9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75E6F91F">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4A36F466">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14:paraId="1FD2C83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533A401C">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655DA28F">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14:paraId="7F7AB79A">
      <w:pPr>
        <w:keepNext w:val="0"/>
        <w:keepLines w:val="0"/>
        <w:widowControl/>
        <w:suppressLineNumbers w:val="0"/>
        <w:jc w:val="left"/>
        <w:rPr>
          <w:rStyle w:val="8"/>
          <w:rFonts w:ascii="宋体" w:hAnsi="宋体" w:eastAsia="宋体" w:cs="宋体"/>
          <w:b/>
          <w:kern w:val="0"/>
          <w:sz w:val="24"/>
          <w:szCs w:val="24"/>
          <w:lang w:val="en-US" w:eastAsia="zh-CN" w:bidi="ar"/>
        </w:rPr>
      </w:pPr>
    </w:p>
    <w:p w14:paraId="41AB0B33">
      <w:pPr>
        <w:keepNext w:val="0"/>
        <w:keepLines w:val="0"/>
        <w:widowControl/>
        <w:suppressLineNumbers w:val="0"/>
        <w:jc w:val="left"/>
        <w:rPr>
          <w:rStyle w:val="8"/>
          <w:rFonts w:ascii="宋体" w:hAnsi="宋体" w:eastAsia="宋体" w:cs="宋体"/>
          <w:b/>
          <w:kern w:val="0"/>
          <w:sz w:val="24"/>
          <w:szCs w:val="24"/>
          <w:lang w:val="en-US" w:eastAsia="zh-CN" w:bidi="ar"/>
        </w:rPr>
      </w:pPr>
    </w:p>
    <w:p w14:paraId="3DB1BBEF">
      <w:pPr>
        <w:keepNext w:val="0"/>
        <w:keepLines w:val="0"/>
        <w:widowControl/>
        <w:suppressLineNumbers w:val="0"/>
        <w:jc w:val="left"/>
      </w:pPr>
      <w:r>
        <w:rPr>
          <w:rStyle w:val="8"/>
          <w:rFonts w:ascii="宋体" w:hAnsi="宋体" w:eastAsia="宋体" w:cs="宋体"/>
          <w:b/>
          <w:kern w:val="0"/>
          <w:sz w:val="24"/>
          <w:szCs w:val="24"/>
          <w:lang w:val="en-US" w:eastAsia="zh-CN" w:bidi="ar"/>
        </w:rPr>
        <w:t>包：3</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14:paraId="71AE82F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2B3E1B6E">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21D1B6DC">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14:paraId="051D168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4E3D9B28">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73DEE12F">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14:paraId="167CDE8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6945460C">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39E0E816">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14:paraId="73026F49">
      <w:pPr>
        <w:keepNext w:val="0"/>
        <w:keepLines w:val="0"/>
        <w:widowControl/>
        <w:suppressLineNumbers w:val="0"/>
        <w:jc w:val="left"/>
      </w:pPr>
      <w:r>
        <w:rPr>
          <w:rStyle w:val="8"/>
          <w:rFonts w:ascii="宋体" w:hAnsi="宋体" w:eastAsia="宋体" w:cs="宋体"/>
          <w:b/>
          <w:kern w:val="0"/>
          <w:sz w:val="24"/>
          <w:szCs w:val="24"/>
          <w:lang w:val="en-US" w:eastAsia="zh-CN" w:bidi="ar"/>
        </w:rPr>
        <w:t>包：4</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14:paraId="06EB9BF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2F741137">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2235A422">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14:paraId="45481D1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7998FEE4">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75A95550">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14:paraId="78D6A6E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44CC2E1E">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4479543D">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14:paraId="560614B4">
      <w:pPr>
        <w:keepNext w:val="0"/>
        <w:keepLines w:val="0"/>
        <w:widowControl/>
        <w:suppressLineNumbers w:val="0"/>
        <w:jc w:val="left"/>
        <w:rPr>
          <w:rStyle w:val="8"/>
          <w:rFonts w:ascii="宋体" w:hAnsi="宋体" w:eastAsia="宋体" w:cs="宋体"/>
          <w:b/>
          <w:kern w:val="0"/>
          <w:sz w:val="24"/>
          <w:szCs w:val="24"/>
          <w:lang w:val="en-US" w:eastAsia="zh-CN" w:bidi="ar"/>
        </w:rPr>
      </w:pPr>
    </w:p>
    <w:p w14:paraId="49BDF379">
      <w:pPr>
        <w:keepNext w:val="0"/>
        <w:keepLines w:val="0"/>
        <w:widowControl/>
        <w:suppressLineNumbers w:val="0"/>
        <w:jc w:val="left"/>
        <w:rPr>
          <w:rStyle w:val="8"/>
          <w:rFonts w:ascii="宋体" w:hAnsi="宋体" w:eastAsia="宋体" w:cs="宋体"/>
          <w:b/>
          <w:kern w:val="0"/>
          <w:sz w:val="24"/>
          <w:szCs w:val="24"/>
          <w:lang w:val="en-US" w:eastAsia="zh-CN" w:bidi="ar"/>
        </w:rPr>
      </w:pPr>
    </w:p>
    <w:p w14:paraId="5F22C1C2">
      <w:pPr>
        <w:keepNext w:val="0"/>
        <w:keepLines w:val="0"/>
        <w:widowControl/>
        <w:suppressLineNumbers w:val="0"/>
        <w:jc w:val="left"/>
        <w:rPr>
          <w:rStyle w:val="8"/>
          <w:rFonts w:ascii="宋体" w:hAnsi="宋体" w:eastAsia="宋体" w:cs="宋体"/>
          <w:b/>
          <w:kern w:val="0"/>
          <w:sz w:val="24"/>
          <w:szCs w:val="24"/>
          <w:lang w:val="en-US" w:eastAsia="zh-CN" w:bidi="ar"/>
        </w:rPr>
      </w:pPr>
    </w:p>
    <w:p w14:paraId="09646F7F">
      <w:pPr>
        <w:keepNext w:val="0"/>
        <w:keepLines w:val="0"/>
        <w:widowControl/>
        <w:suppressLineNumbers w:val="0"/>
        <w:jc w:val="left"/>
        <w:rPr>
          <w:rStyle w:val="8"/>
          <w:rFonts w:ascii="宋体" w:hAnsi="宋体" w:eastAsia="宋体" w:cs="宋体"/>
          <w:b/>
          <w:kern w:val="0"/>
          <w:sz w:val="24"/>
          <w:szCs w:val="24"/>
          <w:lang w:val="en-US" w:eastAsia="zh-CN" w:bidi="ar"/>
        </w:rPr>
      </w:pPr>
    </w:p>
    <w:p w14:paraId="214EA04F">
      <w:pPr>
        <w:keepNext w:val="0"/>
        <w:keepLines w:val="0"/>
        <w:widowControl/>
        <w:suppressLineNumbers w:val="0"/>
        <w:jc w:val="left"/>
      </w:pPr>
      <w:r>
        <w:rPr>
          <w:rStyle w:val="8"/>
          <w:rFonts w:ascii="宋体" w:hAnsi="宋体" w:eastAsia="宋体" w:cs="宋体"/>
          <w:b/>
          <w:kern w:val="0"/>
          <w:sz w:val="24"/>
          <w:szCs w:val="24"/>
          <w:lang w:val="en-US" w:eastAsia="zh-CN" w:bidi="ar"/>
        </w:rPr>
        <w:t>包：5</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14:paraId="4A0513E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38D5E3BA">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1493860F">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14:paraId="4FD1874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373D5578">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30679550">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14:paraId="4361A4D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192A7094">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128C1FE6">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14:paraId="23D18867">
      <w:pPr>
        <w:keepNext w:val="0"/>
        <w:keepLines w:val="0"/>
        <w:widowControl/>
        <w:suppressLineNumbers w:val="0"/>
        <w:jc w:val="left"/>
      </w:pPr>
      <w:r>
        <w:rPr>
          <w:rStyle w:val="8"/>
          <w:rFonts w:ascii="宋体" w:hAnsi="宋体" w:eastAsia="宋体" w:cs="宋体"/>
          <w:b/>
          <w:kern w:val="0"/>
          <w:sz w:val="24"/>
          <w:szCs w:val="24"/>
          <w:lang w:val="en-US" w:eastAsia="zh-CN" w:bidi="ar"/>
        </w:rPr>
        <w:t>包：6</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14:paraId="79819BD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6FE5706A">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6C9A271B">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14:paraId="69A2AF6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6A46F00B">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31883951">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14:paraId="1AC822F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3DEC64E7">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6B93E526">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14:paraId="0A2F8433">
      <w:pPr>
        <w:keepNext w:val="0"/>
        <w:keepLines w:val="0"/>
        <w:widowControl/>
        <w:suppressLineNumbers w:val="0"/>
        <w:jc w:val="left"/>
        <w:rPr>
          <w:rStyle w:val="8"/>
          <w:rFonts w:ascii="宋体" w:hAnsi="宋体" w:eastAsia="宋体" w:cs="宋体"/>
          <w:b/>
          <w:kern w:val="0"/>
          <w:sz w:val="24"/>
          <w:szCs w:val="24"/>
          <w:lang w:val="en-US" w:eastAsia="zh-CN" w:bidi="ar"/>
        </w:rPr>
      </w:pPr>
    </w:p>
    <w:p w14:paraId="448595F6">
      <w:pPr>
        <w:keepNext w:val="0"/>
        <w:keepLines w:val="0"/>
        <w:widowControl/>
        <w:suppressLineNumbers w:val="0"/>
        <w:jc w:val="left"/>
        <w:rPr>
          <w:rStyle w:val="8"/>
          <w:rFonts w:ascii="宋体" w:hAnsi="宋体" w:eastAsia="宋体" w:cs="宋体"/>
          <w:b/>
          <w:kern w:val="0"/>
          <w:sz w:val="24"/>
          <w:szCs w:val="24"/>
          <w:lang w:val="en-US" w:eastAsia="zh-CN" w:bidi="ar"/>
        </w:rPr>
      </w:pPr>
    </w:p>
    <w:p w14:paraId="496A7D1D">
      <w:pPr>
        <w:keepNext w:val="0"/>
        <w:keepLines w:val="0"/>
        <w:widowControl/>
        <w:suppressLineNumbers w:val="0"/>
        <w:jc w:val="left"/>
        <w:rPr>
          <w:rStyle w:val="8"/>
          <w:rFonts w:ascii="宋体" w:hAnsi="宋体" w:eastAsia="宋体" w:cs="宋体"/>
          <w:b/>
          <w:kern w:val="0"/>
          <w:sz w:val="24"/>
          <w:szCs w:val="24"/>
          <w:lang w:val="en-US" w:eastAsia="zh-CN" w:bidi="ar"/>
        </w:rPr>
      </w:pPr>
    </w:p>
    <w:p w14:paraId="62D306FB">
      <w:pPr>
        <w:keepNext w:val="0"/>
        <w:keepLines w:val="0"/>
        <w:widowControl/>
        <w:suppressLineNumbers w:val="0"/>
        <w:jc w:val="left"/>
        <w:rPr>
          <w:rStyle w:val="8"/>
          <w:rFonts w:ascii="宋体" w:hAnsi="宋体" w:eastAsia="宋体" w:cs="宋体"/>
          <w:b/>
          <w:kern w:val="0"/>
          <w:sz w:val="24"/>
          <w:szCs w:val="24"/>
          <w:lang w:val="en-US" w:eastAsia="zh-CN" w:bidi="ar"/>
        </w:rPr>
      </w:pPr>
    </w:p>
    <w:p w14:paraId="0E54B13C">
      <w:pPr>
        <w:keepNext w:val="0"/>
        <w:keepLines w:val="0"/>
        <w:widowControl/>
        <w:suppressLineNumbers w:val="0"/>
        <w:jc w:val="left"/>
      </w:pPr>
      <w:r>
        <w:rPr>
          <w:rStyle w:val="8"/>
          <w:rFonts w:ascii="宋体" w:hAnsi="宋体" w:eastAsia="宋体" w:cs="宋体"/>
          <w:b/>
          <w:kern w:val="0"/>
          <w:sz w:val="24"/>
          <w:szCs w:val="24"/>
          <w:lang w:val="en-US" w:eastAsia="zh-CN" w:bidi="ar"/>
        </w:rPr>
        <w:t>包：7</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14:paraId="45004B0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41469FE6">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5B7D36CA">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14:paraId="24252CC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75881CC5">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7B915758">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14:paraId="6986D2B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3C96F9D5">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656A24D5">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14:paraId="1BD8E523">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hint="eastAsia" w:ascii="宋体" w:hAnsi="宋体" w:eastAsia="宋体" w:cs="宋体"/>
          <w:spacing w:val="0"/>
          <w:kern w:val="0"/>
          <w:sz w:val="24"/>
          <w:szCs w:val="24"/>
          <w:lang w:val="en-US" w:eastAsia="zh-CN" w:bidi="ar"/>
        </w:rPr>
        <w:t>  （3）投标保证金。</w:t>
      </w:r>
    </w:p>
    <w:p w14:paraId="4786692A">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1.4有下列情形之一的，</w:t>
      </w:r>
      <w:r>
        <w:rPr>
          <w:rStyle w:val="8"/>
          <w:rFonts w:hint="eastAsia" w:ascii="宋体" w:hAnsi="宋体" w:eastAsia="宋体" w:cs="宋体"/>
          <w:b/>
          <w:spacing w:val="0"/>
          <w:sz w:val="24"/>
          <w:szCs w:val="24"/>
        </w:rPr>
        <w:t>资格审查不合格：</w:t>
      </w:r>
      <w:r>
        <w:rPr>
          <w:rStyle w:val="8"/>
          <w:rFonts w:hint="eastAsia" w:ascii="宋体" w:hAnsi="宋体" w:eastAsia="宋体" w:cs="宋体"/>
          <w:b/>
          <w:spacing w:val="0"/>
          <w:sz w:val="24"/>
          <w:szCs w:val="24"/>
        </w:rPr>
        <w:br w:type="textWrapping"/>
      </w:r>
      <w:r>
        <w:rPr>
          <w:rFonts w:hint="eastAsia" w:ascii="宋体" w:hAnsi="宋体" w:eastAsia="宋体" w:cs="宋体"/>
        </w:rPr>
        <w:t>  （1）一般情形：</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25345B76">
        <w:tblPrEx>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64E8B989">
            <w:pPr>
              <w:keepNext w:val="0"/>
              <w:keepLines w:val="0"/>
              <w:widowControl/>
              <w:suppressLineNumbers w:val="0"/>
              <w:jc w:val="left"/>
              <w:rPr>
                <w:b/>
              </w:rPr>
            </w:pPr>
            <w:r>
              <w:rPr>
                <w:rFonts w:ascii="宋体" w:hAnsi="宋体" w:eastAsia="宋体" w:cs="宋体"/>
                <w:b/>
                <w:kern w:val="0"/>
                <w:sz w:val="24"/>
                <w:szCs w:val="24"/>
                <w:lang w:val="en-US" w:eastAsia="zh-CN" w:bidi="ar"/>
              </w:rPr>
              <w:t>明细</w:t>
            </w:r>
          </w:p>
        </w:tc>
      </w:tr>
      <w:tr w14:paraId="09731B9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3669B542">
            <w:pPr>
              <w:keepNext w:val="0"/>
              <w:keepLines w:val="0"/>
              <w:widowControl/>
              <w:suppressLineNumbers w:val="0"/>
              <w:jc w:val="left"/>
            </w:pPr>
            <w:r>
              <w:rPr>
                <w:rFonts w:ascii="宋体" w:hAnsi="宋体" w:eastAsia="宋体" w:cs="宋体"/>
                <w:kern w:val="0"/>
                <w:sz w:val="24"/>
                <w:szCs w:val="24"/>
                <w:lang w:val="en-US" w:eastAsia="zh-CN" w:bidi="ar"/>
              </w:rPr>
              <w:t>未按照招标文件规定提交投标函</w:t>
            </w:r>
          </w:p>
        </w:tc>
      </w:tr>
      <w:tr w14:paraId="2FC2D0F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09576769">
            <w:pPr>
              <w:keepNext w:val="0"/>
              <w:keepLines w:val="0"/>
              <w:widowControl/>
              <w:suppressLineNumbers w:val="0"/>
              <w:jc w:val="left"/>
            </w:pPr>
            <w:r>
              <w:rPr>
                <w:rFonts w:ascii="宋体" w:hAnsi="宋体" w:eastAsia="宋体" w:cs="宋体"/>
                <w:kern w:val="0"/>
                <w:sz w:val="24"/>
                <w:szCs w:val="24"/>
                <w:lang w:val="en-US" w:eastAsia="zh-CN" w:bidi="ar"/>
              </w:rPr>
              <w:t>未按照招标文件规定提交投标人的资格及资信文件</w:t>
            </w:r>
          </w:p>
        </w:tc>
      </w:tr>
      <w:tr w14:paraId="2A8A596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3D4C985B">
            <w:pPr>
              <w:keepNext w:val="0"/>
              <w:keepLines w:val="0"/>
              <w:widowControl/>
              <w:suppressLineNumbers w:val="0"/>
              <w:jc w:val="left"/>
            </w:pPr>
            <w:r>
              <w:rPr>
                <w:rFonts w:ascii="宋体" w:hAnsi="宋体" w:eastAsia="宋体" w:cs="宋体"/>
                <w:kern w:val="0"/>
                <w:sz w:val="24"/>
                <w:szCs w:val="24"/>
                <w:lang w:val="en-US" w:eastAsia="zh-CN" w:bidi="ar"/>
              </w:rPr>
              <w:t>未按照招标文件规定提交投标保证金</w:t>
            </w:r>
          </w:p>
        </w:tc>
      </w:tr>
    </w:tbl>
    <w:p w14:paraId="25237601">
      <w:pPr>
        <w:keepNext w:val="0"/>
        <w:keepLines w:val="0"/>
        <w:widowControl/>
        <w:suppressLineNumbers w:val="0"/>
        <w:jc w:val="left"/>
        <w:rPr>
          <w:rFonts w:hint="eastAsia"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 xml:space="preserve">  </w:t>
      </w:r>
    </w:p>
    <w:p w14:paraId="50DA99D6">
      <w:pPr>
        <w:keepNext w:val="0"/>
        <w:keepLines w:val="0"/>
        <w:widowControl/>
        <w:suppressLineNumbers w:val="0"/>
        <w:jc w:val="left"/>
        <w:rPr>
          <w:rFonts w:hint="eastAsia" w:ascii="宋体" w:hAnsi="宋体" w:eastAsia="宋体" w:cs="宋体"/>
          <w:kern w:val="0"/>
          <w:sz w:val="24"/>
          <w:szCs w:val="24"/>
          <w:lang w:val="en-US" w:eastAsia="zh-CN" w:bidi="ar"/>
        </w:rPr>
      </w:pPr>
    </w:p>
    <w:p w14:paraId="2B788B0E">
      <w:pPr>
        <w:keepNext w:val="0"/>
        <w:keepLines w:val="0"/>
        <w:widowControl/>
        <w:suppressLineNumbers w:val="0"/>
        <w:jc w:val="left"/>
        <w:rPr>
          <w:rFonts w:hint="eastAsia" w:ascii="宋体" w:hAnsi="宋体" w:eastAsia="宋体" w:cs="宋体"/>
          <w:kern w:val="0"/>
          <w:sz w:val="24"/>
          <w:szCs w:val="24"/>
          <w:lang w:val="en-US" w:eastAsia="zh-CN" w:bidi="ar"/>
        </w:rPr>
      </w:pPr>
    </w:p>
    <w:p w14:paraId="6329C84F">
      <w:pPr>
        <w:keepNext w:val="0"/>
        <w:keepLines w:val="0"/>
        <w:widowControl/>
        <w:suppressLineNumbers w:val="0"/>
        <w:jc w:val="left"/>
        <w:rPr>
          <w:rFonts w:hint="eastAsia" w:ascii="宋体" w:hAnsi="宋体" w:eastAsia="宋体" w:cs="宋体"/>
          <w:kern w:val="0"/>
          <w:sz w:val="24"/>
          <w:szCs w:val="24"/>
          <w:lang w:val="en-US" w:eastAsia="zh-CN" w:bidi="ar"/>
        </w:rPr>
      </w:pPr>
    </w:p>
    <w:p w14:paraId="602CE330">
      <w:pPr>
        <w:keepNext w:val="0"/>
        <w:keepLines w:val="0"/>
        <w:widowControl/>
        <w:suppressLineNumbers w:val="0"/>
        <w:jc w:val="left"/>
        <w:rPr>
          <w:rFonts w:hint="eastAsia" w:ascii="宋体" w:hAnsi="宋体" w:eastAsia="宋体" w:cs="宋体"/>
          <w:kern w:val="0"/>
          <w:sz w:val="24"/>
          <w:szCs w:val="24"/>
          <w:lang w:val="en-US" w:eastAsia="zh-CN" w:bidi="ar"/>
        </w:rPr>
      </w:pPr>
    </w:p>
    <w:p w14:paraId="6D8CF279">
      <w:pPr>
        <w:keepNext w:val="0"/>
        <w:keepLines w:val="0"/>
        <w:widowControl/>
        <w:suppressLineNumbers w:val="0"/>
        <w:jc w:val="left"/>
        <w:rPr>
          <w:rFonts w:hint="eastAsia" w:ascii="宋体" w:hAnsi="宋体" w:eastAsia="宋体" w:cs="宋体"/>
          <w:kern w:val="0"/>
          <w:sz w:val="24"/>
          <w:szCs w:val="24"/>
          <w:lang w:val="en-US" w:eastAsia="zh-CN" w:bidi="ar"/>
        </w:rPr>
      </w:pPr>
    </w:p>
    <w:p w14:paraId="44FD94C9">
      <w:pPr>
        <w:keepNext w:val="0"/>
        <w:keepLines w:val="0"/>
        <w:widowControl/>
        <w:suppressLineNumbers w:val="0"/>
        <w:jc w:val="left"/>
        <w:rPr>
          <w:rFonts w:hint="eastAsia" w:ascii="宋体" w:hAnsi="宋体" w:eastAsia="宋体" w:cs="宋体"/>
          <w:kern w:val="0"/>
          <w:sz w:val="24"/>
          <w:szCs w:val="24"/>
          <w:lang w:val="en-US" w:eastAsia="zh-CN" w:bidi="ar"/>
        </w:rPr>
      </w:pPr>
    </w:p>
    <w:p w14:paraId="4E9774A1">
      <w:pPr>
        <w:keepNext w:val="0"/>
        <w:keepLines w:val="0"/>
        <w:widowControl/>
        <w:suppressLineNumbers w:val="0"/>
        <w:jc w:val="left"/>
        <w:rPr>
          <w:rFonts w:hint="eastAsia" w:ascii="宋体" w:hAnsi="宋体" w:eastAsia="宋体" w:cs="宋体"/>
          <w:kern w:val="0"/>
          <w:sz w:val="24"/>
          <w:szCs w:val="24"/>
          <w:lang w:val="en-US" w:eastAsia="zh-CN" w:bidi="ar"/>
        </w:rPr>
      </w:pPr>
    </w:p>
    <w:p w14:paraId="210DE6E9">
      <w:pPr>
        <w:keepNext w:val="0"/>
        <w:keepLines w:val="0"/>
        <w:widowControl/>
        <w:suppressLineNumbers w:val="0"/>
        <w:jc w:val="left"/>
        <w:rPr>
          <w:rFonts w:hint="eastAsia" w:ascii="宋体" w:hAnsi="宋体" w:eastAsia="宋体" w:cs="宋体"/>
          <w:kern w:val="0"/>
          <w:sz w:val="24"/>
          <w:szCs w:val="24"/>
          <w:lang w:val="en-US" w:eastAsia="zh-CN" w:bidi="ar"/>
        </w:rPr>
      </w:pPr>
    </w:p>
    <w:p w14:paraId="210D24A4">
      <w:pPr>
        <w:keepNext w:val="0"/>
        <w:keepLines w:val="0"/>
        <w:widowControl/>
        <w:suppressLineNumbers w:val="0"/>
        <w:jc w:val="left"/>
        <w:rPr>
          <w:rFonts w:hint="eastAsia" w:ascii="宋体" w:hAnsi="宋体" w:eastAsia="宋体" w:cs="宋体"/>
          <w:kern w:val="0"/>
          <w:sz w:val="24"/>
          <w:szCs w:val="24"/>
          <w:lang w:val="en-US" w:eastAsia="zh-CN" w:bidi="ar"/>
        </w:rPr>
      </w:pPr>
    </w:p>
    <w:p w14:paraId="4B906165">
      <w:pPr>
        <w:keepNext w:val="0"/>
        <w:keepLines w:val="0"/>
        <w:widowControl/>
        <w:suppressLineNumbers w:val="0"/>
        <w:jc w:val="left"/>
        <w:rPr>
          <w:rFonts w:hint="eastAsia" w:ascii="宋体" w:hAnsi="宋体" w:eastAsia="宋体" w:cs="宋体"/>
          <w:kern w:val="0"/>
          <w:sz w:val="24"/>
          <w:szCs w:val="24"/>
          <w:lang w:val="en-US" w:eastAsia="zh-CN" w:bidi="ar"/>
        </w:rPr>
      </w:pPr>
    </w:p>
    <w:p w14:paraId="1DBD2D8C">
      <w:pPr>
        <w:keepNext w:val="0"/>
        <w:keepLines w:val="0"/>
        <w:widowControl/>
        <w:suppressLineNumbers w:val="0"/>
        <w:jc w:val="left"/>
        <w:rPr>
          <w:rFonts w:hint="eastAsia" w:ascii="宋体" w:hAnsi="宋体" w:eastAsia="宋体" w:cs="宋体"/>
          <w:kern w:val="0"/>
          <w:sz w:val="24"/>
          <w:szCs w:val="24"/>
          <w:lang w:val="en-US" w:eastAsia="zh-CN" w:bidi="ar"/>
        </w:rPr>
      </w:pPr>
    </w:p>
    <w:p w14:paraId="12AC36AA">
      <w:pPr>
        <w:keepNext w:val="0"/>
        <w:keepLines w:val="0"/>
        <w:widowControl/>
        <w:suppressLineNumbers w:val="0"/>
        <w:jc w:val="left"/>
        <w:rPr>
          <w:rFonts w:hint="eastAsia" w:ascii="宋体" w:hAnsi="宋体" w:eastAsia="宋体" w:cs="宋体"/>
          <w:kern w:val="0"/>
          <w:sz w:val="24"/>
          <w:szCs w:val="24"/>
          <w:lang w:val="en-US" w:eastAsia="zh-CN" w:bidi="ar"/>
        </w:rPr>
      </w:pPr>
    </w:p>
    <w:p w14:paraId="4BAF0EDC">
      <w:pPr>
        <w:keepNext w:val="0"/>
        <w:keepLines w:val="0"/>
        <w:widowControl/>
        <w:suppressLineNumbers w:val="0"/>
        <w:jc w:val="left"/>
        <w:rPr>
          <w:rFonts w:hint="eastAsia" w:ascii="宋体" w:hAnsi="宋体" w:eastAsia="宋体" w:cs="宋体"/>
          <w:kern w:val="0"/>
          <w:sz w:val="24"/>
          <w:szCs w:val="24"/>
          <w:lang w:val="en-US" w:eastAsia="zh-CN" w:bidi="ar"/>
        </w:rPr>
      </w:pPr>
    </w:p>
    <w:p w14:paraId="3C168276">
      <w:pPr>
        <w:keepNext w:val="0"/>
        <w:keepLines w:val="0"/>
        <w:widowControl/>
        <w:suppressLineNumbers w:val="0"/>
        <w:ind w:firstLine="480" w:firstLineChars="200"/>
        <w:jc w:val="left"/>
      </w:pPr>
      <w:r>
        <w:rPr>
          <w:rFonts w:hint="eastAsia" w:ascii="宋体" w:hAnsi="宋体" w:eastAsia="宋体" w:cs="宋体"/>
          <w:kern w:val="0"/>
          <w:sz w:val="24"/>
          <w:szCs w:val="24"/>
          <w:lang w:val="en-US" w:eastAsia="zh-CN" w:bidi="ar"/>
        </w:rPr>
        <w:t>（2）本项目规定的其他情形：</w:t>
      </w:r>
    </w:p>
    <w:p w14:paraId="6283406D">
      <w:pPr>
        <w:pStyle w:val="5"/>
        <w:keepNext w:val="0"/>
        <w:keepLines w:val="0"/>
        <w:widowControl/>
        <w:suppressLineNumbers w:val="0"/>
        <w:spacing w:before="0" w:beforeAutospacing="0" w:after="150" w:afterAutospacing="0"/>
        <w:ind w:right="0"/>
      </w:pPr>
      <w:r>
        <w:rPr>
          <w:rStyle w:val="8"/>
          <w:b/>
        </w:rPr>
        <w:t>包：1</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14D4827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65BE3CE5">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2A1B9EE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04CA7179">
            <w:pPr>
              <w:keepNext w:val="0"/>
              <w:keepLines w:val="0"/>
              <w:widowControl/>
              <w:suppressLineNumbers w:val="0"/>
              <w:jc w:val="left"/>
            </w:pPr>
            <w:r>
              <w:rPr>
                <w:rFonts w:ascii="宋体" w:hAnsi="宋体" w:eastAsia="宋体" w:cs="宋体"/>
                <w:kern w:val="0"/>
                <w:sz w:val="24"/>
                <w:szCs w:val="24"/>
                <w:lang w:val="en-US" w:eastAsia="zh-CN" w:bidi="ar"/>
              </w:rPr>
              <w:t>无</w:t>
            </w:r>
          </w:p>
        </w:tc>
      </w:tr>
    </w:tbl>
    <w:p w14:paraId="5F77ECA5">
      <w:pPr>
        <w:keepNext w:val="0"/>
        <w:keepLines w:val="0"/>
        <w:widowControl/>
        <w:suppressLineNumbers w:val="0"/>
        <w:jc w:val="left"/>
      </w:pPr>
      <w:r>
        <w:rPr>
          <w:rStyle w:val="8"/>
          <w:rFonts w:ascii="宋体" w:hAnsi="宋体" w:eastAsia="宋体" w:cs="宋体"/>
          <w:b/>
          <w:kern w:val="0"/>
          <w:sz w:val="24"/>
          <w:szCs w:val="24"/>
          <w:lang w:val="en-US" w:eastAsia="zh-CN" w:bidi="ar"/>
        </w:rPr>
        <w:t>包：2</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52D7179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1E1DF834">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6A75E0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39532677">
            <w:pPr>
              <w:keepNext w:val="0"/>
              <w:keepLines w:val="0"/>
              <w:widowControl/>
              <w:suppressLineNumbers w:val="0"/>
              <w:jc w:val="left"/>
            </w:pPr>
            <w:r>
              <w:rPr>
                <w:rFonts w:ascii="宋体" w:hAnsi="宋体" w:eastAsia="宋体" w:cs="宋体"/>
                <w:kern w:val="0"/>
                <w:sz w:val="24"/>
                <w:szCs w:val="24"/>
                <w:lang w:val="en-US" w:eastAsia="zh-CN" w:bidi="ar"/>
              </w:rPr>
              <w:t>无</w:t>
            </w:r>
          </w:p>
        </w:tc>
      </w:tr>
    </w:tbl>
    <w:p w14:paraId="7770D283">
      <w:pPr>
        <w:keepNext w:val="0"/>
        <w:keepLines w:val="0"/>
        <w:widowControl/>
        <w:suppressLineNumbers w:val="0"/>
        <w:jc w:val="left"/>
      </w:pPr>
      <w:r>
        <w:rPr>
          <w:rStyle w:val="8"/>
          <w:rFonts w:ascii="宋体" w:hAnsi="宋体" w:eastAsia="宋体" w:cs="宋体"/>
          <w:b/>
          <w:kern w:val="0"/>
          <w:sz w:val="24"/>
          <w:szCs w:val="24"/>
          <w:lang w:val="en-US" w:eastAsia="zh-CN" w:bidi="ar"/>
        </w:rPr>
        <w:t>包：3</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63987D5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2077990D">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5144485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0740DA71">
            <w:pPr>
              <w:keepNext w:val="0"/>
              <w:keepLines w:val="0"/>
              <w:widowControl/>
              <w:suppressLineNumbers w:val="0"/>
              <w:jc w:val="left"/>
            </w:pPr>
            <w:r>
              <w:rPr>
                <w:rFonts w:ascii="宋体" w:hAnsi="宋体" w:eastAsia="宋体" w:cs="宋体"/>
                <w:kern w:val="0"/>
                <w:sz w:val="24"/>
                <w:szCs w:val="24"/>
                <w:lang w:val="en-US" w:eastAsia="zh-CN" w:bidi="ar"/>
              </w:rPr>
              <w:t>无</w:t>
            </w:r>
          </w:p>
        </w:tc>
      </w:tr>
    </w:tbl>
    <w:p w14:paraId="0B4E2161">
      <w:pPr>
        <w:keepNext w:val="0"/>
        <w:keepLines w:val="0"/>
        <w:widowControl/>
        <w:suppressLineNumbers w:val="0"/>
        <w:jc w:val="left"/>
      </w:pPr>
      <w:r>
        <w:rPr>
          <w:rStyle w:val="8"/>
          <w:rFonts w:ascii="宋体" w:hAnsi="宋体" w:eastAsia="宋体" w:cs="宋体"/>
          <w:b/>
          <w:kern w:val="0"/>
          <w:sz w:val="24"/>
          <w:szCs w:val="24"/>
          <w:lang w:val="en-US" w:eastAsia="zh-CN" w:bidi="ar"/>
        </w:rPr>
        <w:t>包：4</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673BD84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50456E18">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0B46678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40B966B3">
            <w:pPr>
              <w:keepNext w:val="0"/>
              <w:keepLines w:val="0"/>
              <w:widowControl/>
              <w:suppressLineNumbers w:val="0"/>
              <w:jc w:val="left"/>
            </w:pPr>
            <w:r>
              <w:rPr>
                <w:rFonts w:ascii="宋体" w:hAnsi="宋体" w:eastAsia="宋体" w:cs="宋体"/>
                <w:kern w:val="0"/>
                <w:sz w:val="24"/>
                <w:szCs w:val="24"/>
                <w:lang w:val="en-US" w:eastAsia="zh-CN" w:bidi="ar"/>
              </w:rPr>
              <w:t>无</w:t>
            </w:r>
          </w:p>
        </w:tc>
      </w:tr>
    </w:tbl>
    <w:p w14:paraId="522A6DC1">
      <w:pPr>
        <w:keepNext w:val="0"/>
        <w:keepLines w:val="0"/>
        <w:widowControl/>
        <w:suppressLineNumbers w:val="0"/>
        <w:jc w:val="left"/>
      </w:pPr>
      <w:r>
        <w:rPr>
          <w:rStyle w:val="8"/>
          <w:rFonts w:ascii="宋体" w:hAnsi="宋体" w:eastAsia="宋体" w:cs="宋体"/>
          <w:b/>
          <w:kern w:val="0"/>
          <w:sz w:val="24"/>
          <w:szCs w:val="24"/>
          <w:lang w:val="en-US" w:eastAsia="zh-CN" w:bidi="ar"/>
        </w:rPr>
        <w:t>包：5</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20D16E0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0484A5E9">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07E1214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1C446F8F">
            <w:pPr>
              <w:keepNext w:val="0"/>
              <w:keepLines w:val="0"/>
              <w:widowControl/>
              <w:suppressLineNumbers w:val="0"/>
              <w:jc w:val="left"/>
            </w:pPr>
            <w:r>
              <w:rPr>
                <w:rFonts w:ascii="宋体" w:hAnsi="宋体" w:eastAsia="宋体" w:cs="宋体"/>
                <w:kern w:val="0"/>
                <w:sz w:val="24"/>
                <w:szCs w:val="24"/>
                <w:lang w:val="en-US" w:eastAsia="zh-CN" w:bidi="ar"/>
              </w:rPr>
              <w:t>无</w:t>
            </w:r>
          </w:p>
        </w:tc>
      </w:tr>
    </w:tbl>
    <w:p w14:paraId="5A46C868">
      <w:pPr>
        <w:keepNext w:val="0"/>
        <w:keepLines w:val="0"/>
        <w:widowControl/>
        <w:suppressLineNumbers w:val="0"/>
        <w:jc w:val="left"/>
      </w:pPr>
      <w:r>
        <w:rPr>
          <w:rStyle w:val="8"/>
          <w:rFonts w:ascii="宋体" w:hAnsi="宋体" w:eastAsia="宋体" w:cs="宋体"/>
          <w:b/>
          <w:kern w:val="0"/>
          <w:sz w:val="24"/>
          <w:szCs w:val="24"/>
          <w:lang w:val="en-US" w:eastAsia="zh-CN" w:bidi="ar"/>
        </w:rPr>
        <w:t>包：6</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6CB0A0B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2958AB48">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288929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391A9DD5">
            <w:pPr>
              <w:keepNext w:val="0"/>
              <w:keepLines w:val="0"/>
              <w:widowControl/>
              <w:suppressLineNumbers w:val="0"/>
              <w:jc w:val="left"/>
            </w:pPr>
            <w:r>
              <w:rPr>
                <w:rFonts w:ascii="宋体" w:hAnsi="宋体" w:eastAsia="宋体" w:cs="宋体"/>
                <w:kern w:val="0"/>
                <w:sz w:val="24"/>
                <w:szCs w:val="24"/>
                <w:lang w:val="en-US" w:eastAsia="zh-CN" w:bidi="ar"/>
              </w:rPr>
              <w:t>无</w:t>
            </w:r>
          </w:p>
        </w:tc>
      </w:tr>
    </w:tbl>
    <w:p w14:paraId="4D8045E0">
      <w:pPr>
        <w:keepNext w:val="0"/>
        <w:keepLines w:val="0"/>
        <w:widowControl/>
        <w:suppressLineNumbers w:val="0"/>
        <w:jc w:val="left"/>
      </w:pPr>
      <w:r>
        <w:rPr>
          <w:rStyle w:val="8"/>
          <w:rFonts w:ascii="宋体" w:hAnsi="宋体" w:eastAsia="宋体" w:cs="宋体"/>
          <w:b/>
          <w:kern w:val="0"/>
          <w:sz w:val="24"/>
          <w:szCs w:val="24"/>
          <w:lang w:val="en-US" w:eastAsia="zh-CN" w:bidi="ar"/>
        </w:rPr>
        <w:t>包：7</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363B325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27E44CC4">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604551B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79B32E68">
            <w:pPr>
              <w:keepNext w:val="0"/>
              <w:keepLines w:val="0"/>
              <w:widowControl/>
              <w:suppressLineNumbers w:val="0"/>
              <w:jc w:val="left"/>
            </w:pPr>
            <w:r>
              <w:rPr>
                <w:rFonts w:ascii="宋体" w:hAnsi="宋体" w:eastAsia="宋体" w:cs="宋体"/>
                <w:kern w:val="0"/>
                <w:sz w:val="24"/>
                <w:szCs w:val="24"/>
                <w:lang w:val="en-US" w:eastAsia="zh-CN" w:bidi="ar"/>
              </w:rPr>
              <w:t>无</w:t>
            </w:r>
          </w:p>
        </w:tc>
      </w:tr>
    </w:tbl>
    <w:p w14:paraId="46F02AF5">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1.5若本项目接受联合体投标且投标人为联合体，联合体中有同类资质的供应商按照联合体分工承担相同工作的，应先按照资质等级较低的供应商确定资质等级，再按照本章第</w:t>
      </w:r>
      <w:r>
        <w:rPr>
          <w:rFonts w:hint="default" w:ascii="Calibri" w:hAnsi="Calibri" w:cs="Calibri"/>
          <w:spacing w:val="0"/>
          <w:sz w:val="24"/>
          <w:szCs w:val="24"/>
        </w:rPr>
        <w:t>1.2</w:t>
      </w:r>
      <w:r>
        <w:rPr>
          <w:rFonts w:hint="eastAsia" w:ascii="宋体" w:hAnsi="宋体" w:eastAsia="宋体" w:cs="宋体"/>
          <w:spacing w:val="0"/>
          <w:sz w:val="24"/>
          <w:szCs w:val="24"/>
        </w:rPr>
        <w:t>、</w:t>
      </w:r>
      <w:r>
        <w:rPr>
          <w:rFonts w:hint="default" w:ascii="Calibri" w:hAnsi="Calibri" w:cs="Calibri"/>
          <w:spacing w:val="0"/>
          <w:sz w:val="24"/>
          <w:szCs w:val="24"/>
        </w:rPr>
        <w:t>1.3</w:t>
      </w:r>
      <w:r>
        <w:rPr>
          <w:rFonts w:hint="eastAsia" w:ascii="宋体" w:hAnsi="宋体" w:eastAsia="宋体" w:cs="宋体"/>
          <w:spacing w:val="0"/>
          <w:sz w:val="24"/>
          <w:szCs w:val="24"/>
        </w:rPr>
        <w:t>、</w:t>
      </w:r>
      <w:r>
        <w:rPr>
          <w:rFonts w:hint="default" w:ascii="Calibri" w:hAnsi="Calibri" w:cs="Calibri"/>
          <w:spacing w:val="0"/>
          <w:sz w:val="24"/>
          <w:szCs w:val="24"/>
        </w:rPr>
        <w:t>1.4</w:t>
      </w:r>
      <w:r>
        <w:rPr>
          <w:rFonts w:hint="eastAsia" w:ascii="宋体" w:hAnsi="宋体" w:eastAsia="宋体" w:cs="宋体"/>
          <w:spacing w:val="0"/>
          <w:sz w:val="24"/>
          <w:szCs w:val="24"/>
        </w:rPr>
        <w:t>条规定进行资格审查。</w:t>
      </w:r>
    </w:p>
    <w:p w14:paraId="6C3A9CD3">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2、资格审查情况不得私自外泄，有关信息由</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统一对外发布。</w:t>
      </w:r>
    </w:p>
    <w:p w14:paraId="0B274C81">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3、资格审查合格的投标人不足三家的，不进行评标。同时，本次采购活动结束，</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将依法组织后续采购活动（包括但不限于：重新招标、采用其他方式采购等）。</w:t>
      </w:r>
    </w:p>
    <w:p w14:paraId="4B66D204">
      <w:pPr>
        <w:pStyle w:val="5"/>
        <w:keepNext w:val="0"/>
        <w:keepLines w:val="0"/>
        <w:widowControl/>
        <w:suppressLineNumbers w:val="0"/>
        <w:spacing w:before="75" w:beforeAutospacing="0" w:after="75" w:afterAutospacing="0"/>
        <w:ind w:left="0" w:right="0" w:firstLine="0"/>
      </w:pPr>
      <w:r>
        <w:rPr>
          <w:spacing w:val="0"/>
          <w:sz w:val="24"/>
          <w:szCs w:val="24"/>
        </w:rPr>
        <w:t> </w:t>
      </w:r>
    </w:p>
    <w:p w14:paraId="5C61A506">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49E172DF">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11B7F96C">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78464DF3">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7B1ACCA6">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6A4970E2">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71B0C7EB">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157D80A6">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3B12223A">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47516D2E">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二、评标</w:t>
      </w:r>
    </w:p>
    <w:p w14:paraId="667FAEF1">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0"/>
        <w:textAlignment w:val="auto"/>
      </w:pPr>
      <w:r>
        <w:rPr>
          <w:rFonts w:hint="eastAsia" w:ascii="宋体" w:hAnsi="宋体" w:eastAsia="宋体" w:cs="宋体"/>
          <w:spacing w:val="0"/>
          <w:sz w:val="24"/>
          <w:szCs w:val="24"/>
        </w:rPr>
        <w:t>4、</w:t>
      </w:r>
      <w:r>
        <w:rPr>
          <w:rFonts w:hint="eastAsia" w:ascii="宋体" w:hAnsi="宋体" w:eastAsia="宋体" w:cs="宋体"/>
        </w:rPr>
        <w:t>资格审查结束后，由</w:t>
      </w:r>
      <w:r>
        <w:rPr>
          <w:rFonts w:hint="eastAsia" w:ascii="宋体" w:hAnsi="宋体" w:eastAsia="宋体" w:cs="宋体"/>
          <w:spacing w:val="0"/>
        </w:rPr>
        <w:t>福建省顺鑫招标代理有限公司负责评标委员会的组建及评标工作的组织。</w:t>
      </w:r>
    </w:p>
    <w:p w14:paraId="35A77678">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0"/>
        <w:textAlignment w:val="auto"/>
      </w:pPr>
      <w:r>
        <w:rPr>
          <w:rFonts w:hint="eastAsia" w:ascii="宋体" w:hAnsi="宋体" w:eastAsia="宋体" w:cs="宋体"/>
          <w:spacing w:val="0"/>
          <w:sz w:val="24"/>
          <w:szCs w:val="24"/>
        </w:rPr>
        <w:t>5、评标委员会</w:t>
      </w:r>
    </w:p>
    <w:p w14:paraId="16CC1FD2">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0"/>
        <w:textAlignment w:val="auto"/>
      </w:pPr>
      <w:r>
        <w:rPr>
          <w:rFonts w:hint="eastAsia" w:ascii="宋体" w:hAnsi="宋体" w:eastAsia="宋体" w:cs="宋体"/>
          <w:spacing w:val="0"/>
          <w:sz w:val="24"/>
          <w:szCs w:val="24"/>
        </w:rPr>
        <w:t>5.1评标委员会由采购人代表和评标专家两部分共</w:t>
      </w:r>
      <w:r>
        <w:rPr>
          <w:rFonts w:hint="eastAsia" w:ascii="宋体" w:hAnsi="宋体" w:eastAsia="宋体" w:cs="宋体"/>
          <w:spacing w:val="0"/>
          <w:sz w:val="24"/>
          <w:szCs w:val="24"/>
          <w:u w:val="single"/>
        </w:rPr>
        <w:t>5</w:t>
      </w:r>
      <w:r>
        <w:rPr>
          <w:rFonts w:hint="eastAsia" w:ascii="宋体" w:hAnsi="宋体" w:eastAsia="宋体" w:cs="宋体"/>
          <w:spacing w:val="0"/>
          <w:sz w:val="24"/>
          <w:szCs w:val="24"/>
        </w:rPr>
        <w:t>人（以下简称“评委”）组成，其中：由采购人派出的采购人代表</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人，由福建省政府采购评审专家库产生的评标专家</w:t>
      </w:r>
      <w:r>
        <w:rPr>
          <w:rFonts w:hint="eastAsia" w:ascii="宋体" w:hAnsi="宋体" w:eastAsia="宋体" w:cs="宋体"/>
          <w:spacing w:val="0"/>
          <w:sz w:val="24"/>
          <w:szCs w:val="24"/>
          <w:u w:val="single"/>
        </w:rPr>
        <w:t>4</w:t>
      </w:r>
      <w:r>
        <w:rPr>
          <w:rFonts w:hint="eastAsia" w:ascii="宋体" w:hAnsi="宋体" w:eastAsia="宋体" w:cs="宋体"/>
          <w:spacing w:val="0"/>
          <w:sz w:val="24"/>
          <w:szCs w:val="24"/>
        </w:rPr>
        <w:t>人。</w:t>
      </w:r>
    </w:p>
    <w:p w14:paraId="599ED339">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0"/>
        <w:textAlignment w:val="auto"/>
      </w:pPr>
      <w:r>
        <w:rPr>
          <w:rFonts w:hint="eastAsia" w:ascii="宋体" w:hAnsi="宋体" w:eastAsia="宋体" w:cs="宋体"/>
          <w:spacing w:val="0"/>
          <w:sz w:val="24"/>
          <w:szCs w:val="24"/>
        </w:rPr>
        <w:t>5.2评标委员会负责具体评标事务，并按照下列原则依法独立履行有关职责：</w:t>
      </w:r>
    </w:p>
    <w:p w14:paraId="1903E1F2">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（1）评标应保护国家利益、社会公共利益和各方当事人合法权益，提高采购效益，保证项目质量。</w:t>
      </w:r>
    </w:p>
    <w:p w14:paraId="408F6F80">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（2）评标应遵循公平、公正、科学、严谨和择优原则。</w:t>
      </w:r>
    </w:p>
    <w:p w14:paraId="3916CE59">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（3）评标的依据是招标文件和投标文件。</w:t>
      </w:r>
    </w:p>
    <w:p w14:paraId="5D3296A7">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（4）应按照招标文件规定推荐中标候选人或确定中标人。</w:t>
      </w:r>
    </w:p>
    <w:p w14:paraId="74018E4A">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（5）评标应遵守下列评标纪律：</w:t>
      </w:r>
    </w:p>
    <w:p w14:paraId="2097EEFE">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①评标情况不得私自外泄，有关信息由</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统一对外发布。</w:t>
      </w:r>
    </w:p>
    <w:p w14:paraId="133A8D8B">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②对</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或投标人提供的要求保密的资料，不得摘记翻印和外传。</w:t>
      </w:r>
    </w:p>
    <w:p w14:paraId="018FBCF7">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③不得收受投标人或有关人员的任何礼物，不得串联鼓动其他人袒护某投标人。若与投标人存在利害关系，则应主动声明并回避。</w:t>
      </w:r>
    </w:p>
    <w:p w14:paraId="697AEC75">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④全体评委应按照招标文件规定进行评标，一切认定事项应查有实据且不得弄虚作假。</w:t>
      </w:r>
    </w:p>
    <w:p w14:paraId="2E11505F">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⑤评标中应充分发扬民主，推荐中标候选人或确定中标人后要服从评标报告。</w:t>
      </w:r>
    </w:p>
    <w:p w14:paraId="4922D787">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Style w:val="8"/>
          <w:rFonts w:hint="eastAsia" w:ascii="宋体" w:hAnsi="宋体" w:eastAsia="宋体" w:cs="宋体"/>
          <w:b/>
          <w:spacing w:val="0"/>
          <w:sz w:val="24"/>
          <w:szCs w:val="24"/>
        </w:rPr>
        <w:t>※对违反评标纪律的评委，将取消其评委资格，对评标工作造成严重损失者将予以通报批评乃至追究法律责任。</w:t>
      </w:r>
    </w:p>
    <w:p w14:paraId="504C9A5C">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0"/>
        <w:textAlignment w:val="auto"/>
      </w:pPr>
      <w:r>
        <w:rPr>
          <w:rFonts w:hint="eastAsia" w:ascii="宋体" w:hAnsi="宋体" w:eastAsia="宋体" w:cs="宋体"/>
          <w:spacing w:val="0"/>
          <w:sz w:val="24"/>
          <w:szCs w:val="24"/>
        </w:rPr>
        <w:t>6、评标程序</w:t>
      </w:r>
    </w:p>
    <w:p w14:paraId="177EB4C4">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0"/>
        <w:textAlignment w:val="auto"/>
      </w:pPr>
      <w:r>
        <w:rPr>
          <w:rFonts w:hint="eastAsia" w:ascii="宋体" w:hAnsi="宋体" w:eastAsia="宋体" w:cs="宋体"/>
          <w:spacing w:val="0"/>
          <w:sz w:val="24"/>
          <w:szCs w:val="24"/>
        </w:rPr>
        <w:t>6.1评标前的准备工作</w:t>
      </w:r>
    </w:p>
    <w:p w14:paraId="09AF07A5">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（1）全体评委应认真审阅招标文件，了解评委应履行或遵守的职责、义务和评标纪律。</w:t>
      </w:r>
    </w:p>
    <w:p w14:paraId="3BCA1B41">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（2）参加评标委员会的采购人代表可对本项目的背景和采购需求进行介绍，介绍材料应以书面形式提交（随采购文件一并存档），介绍内容不得含有歧视性、倾向性意见，不得超出招标文件所述范围。</w:t>
      </w:r>
    </w:p>
    <w:p w14:paraId="34CD5F0A">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0"/>
        <w:textAlignment w:val="auto"/>
      </w:pPr>
      <w:r>
        <w:rPr>
          <w:rFonts w:hint="eastAsia" w:ascii="宋体" w:hAnsi="宋体" w:eastAsia="宋体" w:cs="宋体"/>
          <w:spacing w:val="0"/>
          <w:sz w:val="24"/>
          <w:szCs w:val="24"/>
        </w:rPr>
        <w:t>6.2符合性审查</w:t>
      </w:r>
    </w:p>
    <w:p w14:paraId="7F0073AF">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（1）评标委员会依据招标文件的实质性要求，对通过资格审查的投标文件进行符合性审查，以确定其是否满足招标文件的实质性要求。</w:t>
      </w:r>
    </w:p>
    <w:p w14:paraId="11BED936">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（2）满足招标文件的实质性要求指投标文件对招标文件实质性要求的响应不存在重大偏差或保留。</w:t>
      </w:r>
    </w:p>
    <w:p w14:paraId="25E23B46">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3）重大偏差或保留指影响到招标文件规定的合同范围、合同履行及影响关键质量和性能，或限制了采购人的权利，或反对、减少投标人的义务，而纠正这些重大偏差或保留将影响到其他提交实质性响应投标的投标人的公平竞争地位。</w:t>
      </w:r>
    </w:p>
    <w:p w14:paraId="05E35FEB">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4）评标委员会审查判断投标文件是否满足招标文件的实质性要求仅基于投标文件本身而不寻求其他的外部证据。未满足招标文件实质性要求的投标文件将被评标委员会否决（即符合性审查不合格），被否决的投标文件不能通过补充、修改（澄清、说明或补正）等方式重新成为满足招标文件实质性要求的投标文件。</w:t>
      </w:r>
    </w:p>
    <w:p w14:paraId="01C8C788">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（5）评标委员会对所有投标人都执行相同的程序和标准。</w:t>
      </w:r>
    </w:p>
    <w:p w14:paraId="4264EB7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（6）有下列情形之一的，</w:t>
      </w:r>
      <w:r>
        <w:rPr>
          <w:rStyle w:val="8"/>
          <w:rFonts w:hint="eastAsia" w:ascii="宋体" w:hAnsi="宋体" w:eastAsia="宋体" w:cs="宋体"/>
          <w:b/>
          <w:spacing w:val="0"/>
          <w:sz w:val="24"/>
          <w:szCs w:val="24"/>
        </w:rPr>
        <w:t>符合性审查不合格：</w:t>
      </w:r>
    </w:p>
    <w:p w14:paraId="49BC73F9">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①项目一般情形：</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3C2FAF3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6C4AF19C">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49704E5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5B3E7F74">
            <w:pPr>
              <w:keepNext w:val="0"/>
              <w:keepLines w:val="0"/>
              <w:widowControl/>
              <w:suppressLineNumbers w:val="0"/>
              <w:jc w:val="left"/>
            </w:pPr>
            <w:r>
              <w:rPr>
                <w:rFonts w:ascii="宋体" w:hAnsi="宋体" w:eastAsia="宋体" w:cs="宋体"/>
                <w:kern w:val="0"/>
                <w:sz w:val="24"/>
                <w:szCs w:val="24"/>
                <w:lang w:val="en-US" w:eastAsia="zh-CN" w:bidi="ar"/>
              </w:rPr>
              <w:t>违反招标文件中载明“投标无效”条款的规定；</w:t>
            </w:r>
          </w:p>
        </w:tc>
      </w:tr>
      <w:tr w14:paraId="30FDEA8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4AEB9C0B">
            <w:pPr>
              <w:keepNext w:val="0"/>
              <w:keepLines w:val="0"/>
              <w:widowControl/>
              <w:suppressLineNumbers w:val="0"/>
              <w:jc w:val="left"/>
            </w:pPr>
            <w:r>
              <w:rPr>
                <w:rFonts w:ascii="宋体" w:hAnsi="宋体" w:eastAsia="宋体" w:cs="宋体"/>
                <w:kern w:val="0"/>
                <w:sz w:val="24"/>
                <w:szCs w:val="24"/>
                <w:lang w:val="en-US" w:eastAsia="zh-CN" w:bidi="ar"/>
              </w:rPr>
              <w:t>属于招标文件第三章第10.12条规定的投标无效情形；</w:t>
            </w:r>
          </w:p>
        </w:tc>
      </w:tr>
      <w:tr w14:paraId="60CB82F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7AC2F35E">
            <w:pPr>
              <w:keepNext w:val="0"/>
              <w:keepLines w:val="0"/>
              <w:widowControl/>
              <w:suppressLineNumbers w:val="0"/>
              <w:jc w:val="left"/>
            </w:pPr>
            <w:r>
              <w:rPr>
                <w:rFonts w:ascii="宋体" w:hAnsi="宋体" w:eastAsia="宋体" w:cs="宋体"/>
                <w:kern w:val="0"/>
                <w:sz w:val="24"/>
                <w:szCs w:val="24"/>
                <w:lang w:val="en-US" w:eastAsia="zh-CN" w:bidi="ar"/>
              </w:rPr>
              <w:t>投标文件对招标文件实质性要求的响应存在重大偏离或保留。</w:t>
            </w:r>
          </w:p>
        </w:tc>
      </w:tr>
    </w:tbl>
    <w:p w14:paraId="2D00747C">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②本项目规定的其他情形：</w:t>
      </w:r>
      <w:r>
        <w:rPr>
          <w:rFonts w:hint="eastAsia" w:ascii="宋体" w:hAnsi="宋体" w:eastAsia="宋体" w:cs="宋体"/>
          <w:spacing w:val="0"/>
          <w:sz w:val="24"/>
          <w:szCs w:val="24"/>
        </w:rPr>
        <w:br w:type="textWrapping"/>
      </w:r>
      <w:r>
        <w:rPr>
          <w:rFonts w:hint="eastAsia" w:ascii="宋体" w:hAnsi="宋体" w:eastAsia="宋体" w:cs="宋体"/>
          <w:spacing w:val="0"/>
          <w:sz w:val="24"/>
          <w:szCs w:val="24"/>
        </w:rPr>
        <w:t>包：1 </w:t>
      </w:r>
      <w:r>
        <w:rPr>
          <w:rFonts w:hint="eastAsia" w:ascii="宋体" w:hAnsi="宋体" w:eastAsia="宋体" w:cs="宋体"/>
          <w:spacing w:val="0"/>
          <w:sz w:val="24"/>
          <w:szCs w:val="24"/>
        </w:rPr>
        <w:br w:type="textWrapping"/>
      </w:r>
      <w:r>
        <w:rPr>
          <w:rFonts w:hint="eastAsia" w:ascii="宋体" w:hAnsi="宋体" w:eastAsia="宋体" w:cs="宋体"/>
          <w:spacing w:val="0"/>
          <w:sz w:val="24"/>
          <w:szCs w:val="24"/>
        </w:rPr>
        <w:t>包一般情形</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77DD55D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3E6DACC0">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12BE4DC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74240C4B">
            <w:pPr>
              <w:keepNext w:val="0"/>
              <w:keepLines w:val="0"/>
              <w:widowControl/>
              <w:suppressLineNumbers w:val="0"/>
              <w:jc w:val="left"/>
            </w:pPr>
            <w:r>
              <w:rPr>
                <w:rFonts w:ascii="宋体" w:hAnsi="宋体" w:eastAsia="宋体" w:cs="宋体"/>
                <w:kern w:val="0"/>
                <w:sz w:val="24"/>
                <w:szCs w:val="24"/>
                <w:lang w:val="en-US" w:eastAsia="zh-CN" w:bidi="ar"/>
              </w:rPr>
              <w:t>1、未按招标文件规定提交投标样品的将被视为无效投标。</w:t>
            </w:r>
          </w:p>
        </w:tc>
      </w:tr>
      <w:tr w14:paraId="051F153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24FC7D5F">
            <w:pPr>
              <w:keepNext w:val="0"/>
              <w:keepLines w:val="0"/>
              <w:widowControl/>
              <w:suppressLineNumbers w:val="0"/>
              <w:jc w:val="left"/>
            </w:pPr>
            <w:r>
              <w:rPr>
                <w:rFonts w:ascii="宋体" w:hAnsi="宋体" w:eastAsia="宋体" w:cs="宋体"/>
                <w:kern w:val="0"/>
                <w:sz w:val="24"/>
                <w:szCs w:val="24"/>
                <w:lang w:val="en-US" w:eastAsia="zh-CN" w:bidi="ar"/>
              </w:rPr>
              <w:t>2、投标人开标时须携带本项目所有检测报告原件(检测报告上委托方需为投标人名称)，如在评审过程中评标小组需要核查原件的，投标人须在30分钟内将检测报告原件提供给评标小组核查，未能提供检测报告原件或超过本项规定时间的，视为投标无效。</w:t>
            </w:r>
          </w:p>
        </w:tc>
      </w:tr>
    </w:tbl>
    <w:p w14:paraId="7CE72639">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技术符合性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7053E44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164828B6">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790DC5D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371B0B1D">
            <w:pPr>
              <w:keepNext w:val="0"/>
              <w:keepLines w:val="0"/>
              <w:widowControl/>
              <w:suppressLineNumbers w:val="0"/>
              <w:jc w:val="left"/>
            </w:pPr>
            <w:r>
              <w:rPr>
                <w:rFonts w:ascii="宋体" w:hAnsi="宋体" w:eastAsia="宋体" w:cs="宋体"/>
                <w:kern w:val="0"/>
                <w:sz w:val="24"/>
                <w:szCs w:val="24"/>
                <w:lang w:val="en-US" w:eastAsia="zh-CN" w:bidi="ar"/>
              </w:rPr>
              <w:t>1、按照闽财购〔2010〕28号文件规定，若投标人的技术部分实际得分少于招标文件设定的技术部分总分50%（不含27.5分），即视为技术部分未实质性响应招标文件要求，按无效投标处理。</w:t>
            </w:r>
          </w:p>
        </w:tc>
      </w:tr>
    </w:tbl>
    <w:p w14:paraId="2EC1FDA5">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商务符合性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229CD10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4E4AA2BD">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22183BE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4320B0D6">
            <w:pPr>
              <w:keepNext w:val="0"/>
              <w:keepLines w:val="0"/>
              <w:widowControl/>
              <w:suppressLineNumbers w:val="0"/>
              <w:jc w:val="left"/>
            </w:pPr>
            <w:r>
              <w:rPr>
                <w:rFonts w:ascii="宋体" w:hAnsi="宋体" w:eastAsia="宋体" w:cs="宋体"/>
                <w:kern w:val="0"/>
                <w:sz w:val="24"/>
                <w:szCs w:val="24"/>
                <w:lang w:val="en-US" w:eastAsia="zh-CN" w:bidi="ar"/>
              </w:rPr>
              <w:t>1、交付地点、交付时间、交付条件、验收方式、支付方式、保修期等有不满足招标文件商务条件要求的，按无效投标处理。</w:t>
            </w:r>
          </w:p>
        </w:tc>
      </w:tr>
    </w:tbl>
    <w:p w14:paraId="5D1B50E2">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附加符合性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6B12518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2760FB6F">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3DB6F6F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3B937DEB">
            <w:pPr>
              <w:keepNext w:val="0"/>
              <w:keepLines w:val="0"/>
              <w:widowControl/>
              <w:suppressLineNumbers w:val="0"/>
              <w:jc w:val="left"/>
            </w:pPr>
            <w:r>
              <w:rPr>
                <w:rFonts w:ascii="宋体" w:hAnsi="宋体" w:eastAsia="宋体" w:cs="宋体"/>
                <w:kern w:val="0"/>
                <w:sz w:val="24"/>
                <w:szCs w:val="24"/>
                <w:lang w:val="en-US" w:eastAsia="zh-CN" w:bidi="ar"/>
              </w:rPr>
              <w:t>无</w:t>
            </w:r>
          </w:p>
        </w:tc>
      </w:tr>
    </w:tbl>
    <w:p w14:paraId="2AB1A2D3">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价格符合性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7886CFF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3D16913B">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5FC1F17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236F002B">
            <w:pPr>
              <w:keepNext w:val="0"/>
              <w:keepLines w:val="0"/>
              <w:widowControl/>
              <w:suppressLineNumbers w:val="0"/>
              <w:jc w:val="left"/>
            </w:pPr>
            <w:r>
              <w:rPr>
                <w:rFonts w:ascii="宋体" w:hAnsi="宋体" w:eastAsia="宋体" w:cs="宋体"/>
                <w:kern w:val="0"/>
                <w:sz w:val="24"/>
                <w:szCs w:val="24"/>
                <w:lang w:val="en-US" w:eastAsia="zh-CN" w:bidi="ar"/>
              </w:rPr>
              <w:t>1、投标供应商的报价超过最高限价的；</w:t>
            </w:r>
          </w:p>
        </w:tc>
      </w:tr>
      <w:tr w14:paraId="4261C45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0A9F9D15">
            <w:pPr>
              <w:keepNext w:val="0"/>
              <w:keepLines w:val="0"/>
              <w:widowControl/>
              <w:suppressLineNumbers w:val="0"/>
              <w:jc w:val="left"/>
            </w:pPr>
            <w:r>
              <w:rPr>
                <w:rFonts w:ascii="宋体" w:hAnsi="宋体" w:eastAsia="宋体" w:cs="宋体"/>
                <w:kern w:val="0"/>
                <w:sz w:val="24"/>
                <w:szCs w:val="24"/>
                <w:lang w:val="en-US" w:eastAsia="zh-CN" w:bidi="ar"/>
              </w:rPr>
              <w:t>2、投标供应商的报价明显低于其他报价，使得其投标报价可能低于其个别成本的，有可能影响商品质量或不能诚信履约的，但不能合理说明原因或不能提供相关证明材料的；</w:t>
            </w:r>
          </w:p>
        </w:tc>
      </w:tr>
    </w:tbl>
    <w:p w14:paraId="7A3D06C7">
      <w:pPr>
        <w:keepNext w:val="0"/>
        <w:keepLines w:val="0"/>
        <w:widowControl/>
        <w:suppressLineNumbers w:val="0"/>
        <w:jc w:val="left"/>
      </w:pPr>
      <w:r>
        <w:rPr>
          <w:rFonts w:ascii="宋体" w:hAnsi="宋体" w:eastAsia="宋体" w:cs="宋体"/>
          <w:kern w:val="0"/>
          <w:sz w:val="24"/>
          <w:szCs w:val="24"/>
          <w:lang w:val="en-US" w:eastAsia="zh-CN" w:bidi="ar"/>
        </w:rPr>
        <w:t>包：2 </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包一般情形</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5810DA2F">
        <w:tblPrEx>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4352DA25">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64E1ACB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08B79AE9">
            <w:pPr>
              <w:keepNext w:val="0"/>
              <w:keepLines w:val="0"/>
              <w:widowControl/>
              <w:suppressLineNumbers w:val="0"/>
              <w:jc w:val="left"/>
            </w:pPr>
            <w:r>
              <w:rPr>
                <w:rFonts w:ascii="宋体" w:hAnsi="宋体" w:eastAsia="宋体" w:cs="宋体"/>
                <w:kern w:val="0"/>
                <w:sz w:val="24"/>
                <w:szCs w:val="24"/>
                <w:lang w:val="en-US" w:eastAsia="zh-CN" w:bidi="ar"/>
              </w:rPr>
              <w:t>1、未按招标文件规定提交投标样品的将被视为无效投标。</w:t>
            </w:r>
          </w:p>
        </w:tc>
      </w:tr>
      <w:tr w14:paraId="67AD397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49BE51E0">
            <w:pPr>
              <w:keepNext w:val="0"/>
              <w:keepLines w:val="0"/>
              <w:widowControl/>
              <w:suppressLineNumbers w:val="0"/>
              <w:jc w:val="left"/>
            </w:pPr>
            <w:r>
              <w:rPr>
                <w:rFonts w:ascii="宋体" w:hAnsi="宋体" w:eastAsia="宋体" w:cs="宋体"/>
                <w:kern w:val="0"/>
                <w:sz w:val="24"/>
                <w:szCs w:val="24"/>
                <w:lang w:val="en-US" w:eastAsia="zh-CN" w:bidi="ar"/>
              </w:rPr>
              <w:t>2、投标人开标时须携带本项目所有检测报告原件(检测报告上委托方需为投标人名称)，如在评审过程中评标小组需要核查原件的，投标人须在30分钟内将检测报告原件提供给评标小组核查，未能提供检测报告原件或超过本项规定时间的，视为投标无效。</w:t>
            </w:r>
          </w:p>
        </w:tc>
      </w:tr>
    </w:tbl>
    <w:p w14:paraId="638877D6">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技术符合性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4F5917E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6615997C">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4943187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77B986CA">
            <w:pPr>
              <w:keepNext w:val="0"/>
              <w:keepLines w:val="0"/>
              <w:widowControl/>
              <w:suppressLineNumbers w:val="0"/>
              <w:jc w:val="left"/>
            </w:pPr>
            <w:r>
              <w:rPr>
                <w:rFonts w:ascii="宋体" w:hAnsi="宋体" w:eastAsia="宋体" w:cs="宋体"/>
                <w:kern w:val="0"/>
                <w:sz w:val="24"/>
                <w:szCs w:val="24"/>
                <w:lang w:val="en-US" w:eastAsia="zh-CN" w:bidi="ar"/>
              </w:rPr>
              <w:t>1、按照闽财购〔2010〕28号文件规定，若投标人的技术部分实际得分少于招标文件设定的技术部分总分50%（不含27.5分），即视为技术部分未实质性响应招标文件要求，按无效投标处理。</w:t>
            </w:r>
          </w:p>
        </w:tc>
      </w:tr>
    </w:tbl>
    <w:p w14:paraId="4C4C712C">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商务符合性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2ED2110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57FDB386">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0987274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6255CC02">
            <w:pPr>
              <w:keepNext w:val="0"/>
              <w:keepLines w:val="0"/>
              <w:widowControl/>
              <w:suppressLineNumbers w:val="0"/>
              <w:jc w:val="left"/>
            </w:pPr>
            <w:r>
              <w:rPr>
                <w:rFonts w:ascii="宋体" w:hAnsi="宋体" w:eastAsia="宋体" w:cs="宋体"/>
                <w:kern w:val="0"/>
                <w:sz w:val="24"/>
                <w:szCs w:val="24"/>
                <w:lang w:val="en-US" w:eastAsia="zh-CN" w:bidi="ar"/>
              </w:rPr>
              <w:t>1、交付地点、交付时间、交付条件、验收方式、支付方式、保修期等有不满足招标文件商务条件要求的，按无效投标处理。</w:t>
            </w:r>
          </w:p>
        </w:tc>
      </w:tr>
    </w:tbl>
    <w:p w14:paraId="4F228337">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附加符合性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277E9A5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4D7C9AF7">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3C1D36D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7E01D083">
            <w:pPr>
              <w:keepNext w:val="0"/>
              <w:keepLines w:val="0"/>
              <w:widowControl/>
              <w:suppressLineNumbers w:val="0"/>
              <w:jc w:val="left"/>
            </w:pPr>
            <w:r>
              <w:rPr>
                <w:rFonts w:ascii="宋体" w:hAnsi="宋体" w:eastAsia="宋体" w:cs="宋体"/>
                <w:kern w:val="0"/>
                <w:sz w:val="24"/>
                <w:szCs w:val="24"/>
                <w:lang w:val="en-US" w:eastAsia="zh-CN" w:bidi="ar"/>
              </w:rPr>
              <w:t>无</w:t>
            </w:r>
          </w:p>
        </w:tc>
      </w:tr>
    </w:tbl>
    <w:p w14:paraId="1A2B891C">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价格符合性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482DC15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43300DE6">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7F9F704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6E0D27DC">
            <w:pPr>
              <w:keepNext w:val="0"/>
              <w:keepLines w:val="0"/>
              <w:widowControl/>
              <w:suppressLineNumbers w:val="0"/>
              <w:jc w:val="left"/>
            </w:pPr>
            <w:r>
              <w:rPr>
                <w:rFonts w:ascii="宋体" w:hAnsi="宋体" w:eastAsia="宋体" w:cs="宋体"/>
                <w:kern w:val="0"/>
                <w:sz w:val="24"/>
                <w:szCs w:val="24"/>
                <w:lang w:val="en-US" w:eastAsia="zh-CN" w:bidi="ar"/>
              </w:rPr>
              <w:t>1、投标供应商的报价超过最高限价的；</w:t>
            </w:r>
          </w:p>
        </w:tc>
      </w:tr>
      <w:tr w14:paraId="7A7A2E0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2C2A0DD4">
            <w:pPr>
              <w:keepNext w:val="0"/>
              <w:keepLines w:val="0"/>
              <w:widowControl/>
              <w:suppressLineNumbers w:val="0"/>
              <w:jc w:val="left"/>
            </w:pPr>
            <w:r>
              <w:rPr>
                <w:rFonts w:ascii="宋体" w:hAnsi="宋体" w:eastAsia="宋体" w:cs="宋体"/>
                <w:kern w:val="0"/>
                <w:sz w:val="24"/>
                <w:szCs w:val="24"/>
                <w:lang w:val="en-US" w:eastAsia="zh-CN" w:bidi="ar"/>
              </w:rPr>
              <w:t>2、投标供应商的报价明显低于其他报价，使得其投标报价可能低于其个别成本的，有可能影响商品质量或不能诚信履约的，但不能合理说明原因或不能提供相关证明材料的；</w:t>
            </w:r>
          </w:p>
        </w:tc>
      </w:tr>
    </w:tbl>
    <w:p w14:paraId="0CC8C09D">
      <w:pPr>
        <w:keepNext w:val="0"/>
        <w:keepLines w:val="0"/>
        <w:widowControl/>
        <w:suppressLineNumbers w:val="0"/>
        <w:jc w:val="left"/>
        <w:rPr>
          <w:rFonts w:ascii="宋体" w:hAnsi="宋体" w:eastAsia="宋体" w:cs="宋体"/>
          <w:kern w:val="0"/>
          <w:sz w:val="24"/>
          <w:szCs w:val="24"/>
          <w:lang w:val="en-US" w:eastAsia="zh-CN" w:bidi="ar"/>
        </w:rPr>
      </w:pPr>
    </w:p>
    <w:p w14:paraId="58A3ACC7">
      <w:pPr>
        <w:keepNext w:val="0"/>
        <w:keepLines w:val="0"/>
        <w:widowControl/>
        <w:suppressLineNumbers w:val="0"/>
        <w:jc w:val="left"/>
        <w:rPr>
          <w:rFonts w:ascii="宋体" w:hAnsi="宋体" w:eastAsia="宋体" w:cs="宋体"/>
          <w:kern w:val="0"/>
          <w:sz w:val="24"/>
          <w:szCs w:val="24"/>
          <w:lang w:val="en-US" w:eastAsia="zh-CN" w:bidi="ar"/>
        </w:rPr>
      </w:pPr>
    </w:p>
    <w:p w14:paraId="0452FC1E">
      <w:pPr>
        <w:keepNext w:val="0"/>
        <w:keepLines w:val="0"/>
        <w:widowControl/>
        <w:suppressLineNumbers w:val="0"/>
        <w:jc w:val="left"/>
        <w:rPr>
          <w:rFonts w:ascii="宋体" w:hAnsi="宋体" w:eastAsia="宋体" w:cs="宋体"/>
          <w:kern w:val="0"/>
          <w:sz w:val="24"/>
          <w:szCs w:val="24"/>
          <w:lang w:val="en-US" w:eastAsia="zh-CN" w:bidi="ar"/>
        </w:rPr>
      </w:pPr>
    </w:p>
    <w:p w14:paraId="60A522FA">
      <w:pPr>
        <w:keepNext w:val="0"/>
        <w:keepLines w:val="0"/>
        <w:widowControl/>
        <w:suppressLineNumbers w:val="0"/>
        <w:jc w:val="left"/>
        <w:rPr>
          <w:rFonts w:ascii="宋体" w:hAnsi="宋体" w:eastAsia="宋体" w:cs="宋体"/>
          <w:kern w:val="0"/>
          <w:sz w:val="24"/>
          <w:szCs w:val="24"/>
          <w:lang w:val="en-US" w:eastAsia="zh-CN" w:bidi="ar"/>
        </w:rPr>
      </w:pPr>
    </w:p>
    <w:p w14:paraId="410E7F4B">
      <w:pPr>
        <w:keepNext w:val="0"/>
        <w:keepLines w:val="0"/>
        <w:widowControl/>
        <w:suppressLineNumbers w:val="0"/>
        <w:jc w:val="left"/>
        <w:rPr>
          <w:rFonts w:ascii="宋体" w:hAnsi="宋体" w:eastAsia="宋体" w:cs="宋体"/>
          <w:kern w:val="0"/>
          <w:sz w:val="24"/>
          <w:szCs w:val="24"/>
          <w:lang w:val="en-US" w:eastAsia="zh-CN" w:bidi="ar"/>
        </w:rPr>
      </w:pPr>
    </w:p>
    <w:p w14:paraId="7E7549BB">
      <w:pPr>
        <w:keepNext w:val="0"/>
        <w:keepLines w:val="0"/>
        <w:widowControl/>
        <w:suppressLineNumbers w:val="0"/>
        <w:jc w:val="left"/>
        <w:rPr>
          <w:rFonts w:ascii="宋体" w:hAnsi="宋体" w:eastAsia="宋体" w:cs="宋体"/>
          <w:kern w:val="0"/>
          <w:sz w:val="24"/>
          <w:szCs w:val="24"/>
          <w:lang w:val="en-US" w:eastAsia="zh-CN" w:bidi="ar"/>
        </w:rPr>
      </w:pPr>
    </w:p>
    <w:p w14:paraId="372F6760">
      <w:pPr>
        <w:keepNext w:val="0"/>
        <w:keepLines w:val="0"/>
        <w:widowControl/>
        <w:suppressLineNumbers w:val="0"/>
        <w:jc w:val="left"/>
        <w:rPr>
          <w:rFonts w:ascii="宋体" w:hAnsi="宋体" w:eastAsia="宋体" w:cs="宋体"/>
          <w:kern w:val="0"/>
          <w:sz w:val="24"/>
          <w:szCs w:val="24"/>
          <w:lang w:val="en-US" w:eastAsia="zh-CN" w:bidi="ar"/>
        </w:rPr>
      </w:pPr>
    </w:p>
    <w:p w14:paraId="1F5C008B">
      <w:pPr>
        <w:keepNext w:val="0"/>
        <w:keepLines w:val="0"/>
        <w:widowControl/>
        <w:suppressLineNumbers w:val="0"/>
        <w:jc w:val="left"/>
        <w:rPr>
          <w:rFonts w:ascii="宋体" w:hAnsi="宋体" w:eastAsia="宋体" w:cs="宋体"/>
          <w:kern w:val="0"/>
          <w:sz w:val="24"/>
          <w:szCs w:val="24"/>
          <w:lang w:val="en-US" w:eastAsia="zh-CN" w:bidi="ar"/>
        </w:rPr>
      </w:pPr>
    </w:p>
    <w:p w14:paraId="29E2C64B">
      <w:pPr>
        <w:keepNext w:val="0"/>
        <w:keepLines w:val="0"/>
        <w:widowControl/>
        <w:suppressLineNumbers w:val="0"/>
        <w:jc w:val="left"/>
        <w:rPr>
          <w:rFonts w:ascii="宋体" w:hAnsi="宋体" w:eastAsia="宋体" w:cs="宋体"/>
          <w:kern w:val="0"/>
          <w:sz w:val="24"/>
          <w:szCs w:val="24"/>
          <w:lang w:val="en-US" w:eastAsia="zh-CN" w:bidi="ar"/>
        </w:rPr>
      </w:pPr>
    </w:p>
    <w:p w14:paraId="71378054">
      <w:pPr>
        <w:keepNext w:val="0"/>
        <w:keepLines w:val="0"/>
        <w:widowControl/>
        <w:suppressLineNumbers w:val="0"/>
        <w:jc w:val="left"/>
        <w:rPr>
          <w:rFonts w:ascii="宋体" w:hAnsi="宋体" w:eastAsia="宋体" w:cs="宋体"/>
          <w:kern w:val="0"/>
          <w:sz w:val="24"/>
          <w:szCs w:val="24"/>
          <w:lang w:val="en-US" w:eastAsia="zh-CN" w:bidi="ar"/>
        </w:rPr>
      </w:pPr>
    </w:p>
    <w:p w14:paraId="5FED12DA">
      <w:pPr>
        <w:keepNext w:val="0"/>
        <w:keepLines w:val="0"/>
        <w:widowControl/>
        <w:suppressLineNumbers w:val="0"/>
        <w:jc w:val="left"/>
        <w:rPr>
          <w:rFonts w:ascii="宋体" w:hAnsi="宋体" w:eastAsia="宋体" w:cs="宋体"/>
          <w:kern w:val="0"/>
          <w:sz w:val="24"/>
          <w:szCs w:val="24"/>
          <w:lang w:val="en-US" w:eastAsia="zh-CN" w:bidi="ar"/>
        </w:rPr>
      </w:pPr>
    </w:p>
    <w:p w14:paraId="4814F11E">
      <w:pPr>
        <w:keepNext w:val="0"/>
        <w:keepLines w:val="0"/>
        <w:widowControl/>
        <w:suppressLineNumbers w:val="0"/>
        <w:jc w:val="left"/>
        <w:rPr>
          <w:rFonts w:ascii="宋体" w:hAnsi="宋体" w:eastAsia="宋体" w:cs="宋体"/>
          <w:kern w:val="0"/>
          <w:sz w:val="24"/>
          <w:szCs w:val="24"/>
          <w:lang w:val="en-US" w:eastAsia="zh-CN" w:bidi="ar"/>
        </w:rPr>
      </w:pPr>
    </w:p>
    <w:p w14:paraId="557F0A20">
      <w:pPr>
        <w:keepNext w:val="0"/>
        <w:keepLines w:val="0"/>
        <w:widowControl/>
        <w:suppressLineNumbers w:val="0"/>
        <w:jc w:val="left"/>
        <w:rPr>
          <w:rFonts w:ascii="宋体" w:hAnsi="宋体" w:eastAsia="宋体" w:cs="宋体"/>
          <w:kern w:val="0"/>
          <w:sz w:val="24"/>
          <w:szCs w:val="24"/>
          <w:lang w:val="en-US" w:eastAsia="zh-CN" w:bidi="ar"/>
        </w:rPr>
      </w:pPr>
    </w:p>
    <w:p w14:paraId="67A07E2E">
      <w:pPr>
        <w:keepNext w:val="0"/>
        <w:keepLines w:val="0"/>
        <w:widowControl/>
        <w:suppressLineNumbers w:val="0"/>
        <w:jc w:val="left"/>
      </w:pPr>
      <w:r>
        <w:rPr>
          <w:rFonts w:ascii="宋体" w:hAnsi="宋体" w:eastAsia="宋体" w:cs="宋体"/>
          <w:kern w:val="0"/>
          <w:sz w:val="24"/>
          <w:szCs w:val="24"/>
          <w:lang w:val="en-US" w:eastAsia="zh-CN" w:bidi="ar"/>
        </w:rPr>
        <w:t>包：3 </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包一般情形</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639551D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5EE2C8DC">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0449533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73029411">
            <w:pPr>
              <w:keepNext w:val="0"/>
              <w:keepLines w:val="0"/>
              <w:widowControl/>
              <w:suppressLineNumbers w:val="0"/>
              <w:jc w:val="left"/>
            </w:pPr>
            <w:r>
              <w:rPr>
                <w:rFonts w:ascii="宋体" w:hAnsi="宋体" w:eastAsia="宋体" w:cs="宋体"/>
                <w:kern w:val="0"/>
                <w:sz w:val="24"/>
                <w:szCs w:val="24"/>
                <w:lang w:val="en-US" w:eastAsia="zh-CN" w:bidi="ar"/>
              </w:rPr>
              <w:t>1、未按招标文件规定提交投标样品的将被视为无效投标。</w:t>
            </w:r>
          </w:p>
        </w:tc>
      </w:tr>
      <w:tr w14:paraId="44BEED9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2B2462F3">
            <w:pPr>
              <w:keepNext w:val="0"/>
              <w:keepLines w:val="0"/>
              <w:widowControl/>
              <w:suppressLineNumbers w:val="0"/>
              <w:jc w:val="left"/>
            </w:pPr>
            <w:r>
              <w:rPr>
                <w:rFonts w:ascii="宋体" w:hAnsi="宋体" w:eastAsia="宋体" w:cs="宋体"/>
                <w:kern w:val="0"/>
                <w:sz w:val="24"/>
                <w:szCs w:val="24"/>
                <w:lang w:val="en-US" w:eastAsia="zh-CN" w:bidi="ar"/>
              </w:rPr>
              <w:t>2、投标人开标时须携带本项目所有检测报告原件(检测报告上委托方需为投标人名称)，如在评审过程中评标小组需要核查原件的，投标人须在30分钟内将检测报告原件提供给评标小组核查，未能提供检测报告原件或超过本项规定时间的，视为投标无效。</w:t>
            </w:r>
          </w:p>
        </w:tc>
      </w:tr>
    </w:tbl>
    <w:p w14:paraId="5CC21539">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技术符合性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1C4E98C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56326544">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596EB94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7CD01A0A">
            <w:pPr>
              <w:keepNext w:val="0"/>
              <w:keepLines w:val="0"/>
              <w:widowControl/>
              <w:suppressLineNumbers w:val="0"/>
              <w:jc w:val="left"/>
            </w:pPr>
            <w:r>
              <w:rPr>
                <w:rFonts w:ascii="宋体" w:hAnsi="宋体" w:eastAsia="宋体" w:cs="宋体"/>
                <w:kern w:val="0"/>
                <w:sz w:val="24"/>
                <w:szCs w:val="24"/>
                <w:lang w:val="en-US" w:eastAsia="zh-CN" w:bidi="ar"/>
              </w:rPr>
              <w:t>1、按照闽财购〔2010〕28号文件规定，若投标人的技术部分实际得分少于招标文件设定的技术部分总分50%（不含27.5分），即视为技术部分未实质性响应招标文件要求，按无效投标处理。</w:t>
            </w:r>
          </w:p>
        </w:tc>
      </w:tr>
    </w:tbl>
    <w:p w14:paraId="2D4C2833">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商务符合性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3909FA9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12749E1A">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5276150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192283C5">
            <w:pPr>
              <w:keepNext w:val="0"/>
              <w:keepLines w:val="0"/>
              <w:widowControl/>
              <w:suppressLineNumbers w:val="0"/>
              <w:jc w:val="left"/>
            </w:pPr>
            <w:r>
              <w:rPr>
                <w:rFonts w:ascii="宋体" w:hAnsi="宋体" w:eastAsia="宋体" w:cs="宋体"/>
                <w:kern w:val="0"/>
                <w:sz w:val="24"/>
                <w:szCs w:val="24"/>
                <w:lang w:val="en-US" w:eastAsia="zh-CN" w:bidi="ar"/>
              </w:rPr>
              <w:t>1、交付地点、交付时间、交付条件、验收方式、支付方式、保修期等有不满足招标文件商务条件要求的，按无效投标处理。</w:t>
            </w:r>
          </w:p>
        </w:tc>
      </w:tr>
    </w:tbl>
    <w:p w14:paraId="3D002688">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附加符合性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254B53B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06DA3759">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0B96B26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4F1B066F">
            <w:pPr>
              <w:keepNext w:val="0"/>
              <w:keepLines w:val="0"/>
              <w:widowControl/>
              <w:suppressLineNumbers w:val="0"/>
              <w:jc w:val="left"/>
            </w:pPr>
            <w:r>
              <w:rPr>
                <w:rFonts w:ascii="宋体" w:hAnsi="宋体" w:eastAsia="宋体" w:cs="宋体"/>
                <w:kern w:val="0"/>
                <w:sz w:val="24"/>
                <w:szCs w:val="24"/>
                <w:lang w:val="en-US" w:eastAsia="zh-CN" w:bidi="ar"/>
              </w:rPr>
              <w:t>无</w:t>
            </w:r>
          </w:p>
        </w:tc>
      </w:tr>
    </w:tbl>
    <w:p w14:paraId="172A4B57">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价格符合性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0303A59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1F1ACE6F">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652E058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3FB4A95F">
            <w:pPr>
              <w:keepNext w:val="0"/>
              <w:keepLines w:val="0"/>
              <w:widowControl/>
              <w:suppressLineNumbers w:val="0"/>
              <w:jc w:val="left"/>
            </w:pPr>
            <w:r>
              <w:rPr>
                <w:rFonts w:ascii="宋体" w:hAnsi="宋体" w:eastAsia="宋体" w:cs="宋体"/>
                <w:kern w:val="0"/>
                <w:sz w:val="24"/>
                <w:szCs w:val="24"/>
                <w:lang w:val="en-US" w:eastAsia="zh-CN" w:bidi="ar"/>
              </w:rPr>
              <w:t>1、投标供应商的报价超过最高限价的；</w:t>
            </w:r>
          </w:p>
        </w:tc>
      </w:tr>
      <w:tr w14:paraId="3CC4781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5F1E1277">
            <w:pPr>
              <w:keepNext w:val="0"/>
              <w:keepLines w:val="0"/>
              <w:widowControl/>
              <w:suppressLineNumbers w:val="0"/>
              <w:jc w:val="left"/>
            </w:pPr>
            <w:r>
              <w:rPr>
                <w:rFonts w:ascii="宋体" w:hAnsi="宋体" w:eastAsia="宋体" w:cs="宋体"/>
                <w:kern w:val="0"/>
                <w:sz w:val="24"/>
                <w:szCs w:val="24"/>
                <w:lang w:val="en-US" w:eastAsia="zh-CN" w:bidi="ar"/>
              </w:rPr>
              <w:t>2、投标供应商的报价明显低于其他报价，使得其投标报价可能低于其个别成本的，有可能影响商品质量或不能诚信履约的，但不能合理说明原因或不能提供相关证明材料的；</w:t>
            </w:r>
          </w:p>
        </w:tc>
      </w:tr>
    </w:tbl>
    <w:p w14:paraId="34BBE9E3">
      <w:pPr>
        <w:keepNext w:val="0"/>
        <w:keepLines w:val="0"/>
        <w:widowControl/>
        <w:suppressLineNumbers w:val="0"/>
        <w:jc w:val="left"/>
        <w:rPr>
          <w:rFonts w:ascii="宋体" w:hAnsi="宋体" w:eastAsia="宋体" w:cs="宋体"/>
          <w:kern w:val="0"/>
          <w:sz w:val="24"/>
          <w:szCs w:val="24"/>
          <w:lang w:val="en-US" w:eastAsia="zh-CN" w:bidi="ar"/>
        </w:rPr>
      </w:pPr>
    </w:p>
    <w:p w14:paraId="7E787C6E">
      <w:pPr>
        <w:keepNext w:val="0"/>
        <w:keepLines w:val="0"/>
        <w:widowControl/>
        <w:suppressLineNumbers w:val="0"/>
        <w:jc w:val="left"/>
        <w:rPr>
          <w:rFonts w:ascii="宋体" w:hAnsi="宋体" w:eastAsia="宋体" w:cs="宋体"/>
          <w:kern w:val="0"/>
          <w:sz w:val="24"/>
          <w:szCs w:val="24"/>
          <w:lang w:val="en-US" w:eastAsia="zh-CN" w:bidi="ar"/>
        </w:rPr>
      </w:pPr>
    </w:p>
    <w:p w14:paraId="320396A8">
      <w:pPr>
        <w:keepNext w:val="0"/>
        <w:keepLines w:val="0"/>
        <w:widowControl/>
        <w:suppressLineNumbers w:val="0"/>
        <w:jc w:val="left"/>
        <w:rPr>
          <w:rFonts w:ascii="宋体" w:hAnsi="宋体" w:eastAsia="宋体" w:cs="宋体"/>
          <w:kern w:val="0"/>
          <w:sz w:val="24"/>
          <w:szCs w:val="24"/>
          <w:lang w:val="en-US" w:eastAsia="zh-CN" w:bidi="ar"/>
        </w:rPr>
      </w:pPr>
    </w:p>
    <w:p w14:paraId="5DB33DA7">
      <w:pPr>
        <w:keepNext w:val="0"/>
        <w:keepLines w:val="0"/>
        <w:widowControl/>
        <w:suppressLineNumbers w:val="0"/>
        <w:jc w:val="left"/>
        <w:rPr>
          <w:rFonts w:ascii="宋体" w:hAnsi="宋体" w:eastAsia="宋体" w:cs="宋体"/>
          <w:kern w:val="0"/>
          <w:sz w:val="24"/>
          <w:szCs w:val="24"/>
          <w:lang w:val="en-US" w:eastAsia="zh-CN" w:bidi="ar"/>
        </w:rPr>
      </w:pPr>
    </w:p>
    <w:p w14:paraId="5DB372F3">
      <w:pPr>
        <w:keepNext w:val="0"/>
        <w:keepLines w:val="0"/>
        <w:widowControl/>
        <w:suppressLineNumbers w:val="0"/>
        <w:jc w:val="left"/>
        <w:rPr>
          <w:rFonts w:ascii="宋体" w:hAnsi="宋体" w:eastAsia="宋体" w:cs="宋体"/>
          <w:kern w:val="0"/>
          <w:sz w:val="24"/>
          <w:szCs w:val="24"/>
          <w:lang w:val="en-US" w:eastAsia="zh-CN" w:bidi="ar"/>
        </w:rPr>
      </w:pPr>
    </w:p>
    <w:p w14:paraId="643DC578">
      <w:pPr>
        <w:keepNext w:val="0"/>
        <w:keepLines w:val="0"/>
        <w:widowControl/>
        <w:suppressLineNumbers w:val="0"/>
        <w:jc w:val="left"/>
        <w:rPr>
          <w:rFonts w:ascii="宋体" w:hAnsi="宋体" w:eastAsia="宋体" w:cs="宋体"/>
          <w:kern w:val="0"/>
          <w:sz w:val="24"/>
          <w:szCs w:val="24"/>
          <w:lang w:val="en-US" w:eastAsia="zh-CN" w:bidi="ar"/>
        </w:rPr>
      </w:pPr>
    </w:p>
    <w:p w14:paraId="340CD7DD">
      <w:pPr>
        <w:keepNext w:val="0"/>
        <w:keepLines w:val="0"/>
        <w:widowControl/>
        <w:suppressLineNumbers w:val="0"/>
        <w:jc w:val="left"/>
        <w:rPr>
          <w:rFonts w:ascii="宋体" w:hAnsi="宋体" w:eastAsia="宋体" w:cs="宋体"/>
          <w:kern w:val="0"/>
          <w:sz w:val="24"/>
          <w:szCs w:val="24"/>
          <w:lang w:val="en-US" w:eastAsia="zh-CN" w:bidi="ar"/>
        </w:rPr>
      </w:pPr>
    </w:p>
    <w:p w14:paraId="12CC1D78">
      <w:pPr>
        <w:keepNext w:val="0"/>
        <w:keepLines w:val="0"/>
        <w:widowControl/>
        <w:suppressLineNumbers w:val="0"/>
        <w:jc w:val="left"/>
        <w:rPr>
          <w:rFonts w:ascii="宋体" w:hAnsi="宋体" w:eastAsia="宋体" w:cs="宋体"/>
          <w:kern w:val="0"/>
          <w:sz w:val="24"/>
          <w:szCs w:val="24"/>
          <w:lang w:val="en-US" w:eastAsia="zh-CN" w:bidi="ar"/>
        </w:rPr>
      </w:pPr>
    </w:p>
    <w:p w14:paraId="315CA271">
      <w:pPr>
        <w:keepNext w:val="0"/>
        <w:keepLines w:val="0"/>
        <w:widowControl/>
        <w:suppressLineNumbers w:val="0"/>
        <w:jc w:val="left"/>
        <w:rPr>
          <w:rFonts w:ascii="宋体" w:hAnsi="宋体" w:eastAsia="宋体" w:cs="宋体"/>
          <w:kern w:val="0"/>
          <w:sz w:val="24"/>
          <w:szCs w:val="24"/>
          <w:lang w:val="en-US" w:eastAsia="zh-CN" w:bidi="ar"/>
        </w:rPr>
      </w:pPr>
    </w:p>
    <w:p w14:paraId="1384E5D7">
      <w:pPr>
        <w:keepNext w:val="0"/>
        <w:keepLines w:val="0"/>
        <w:widowControl/>
        <w:suppressLineNumbers w:val="0"/>
        <w:jc w:val="left"/>
        <w:rPr>
          <w:rFonts w:ascii="宋体" w:hAnsi="宋体" w:eastAsia="宋体" w:cs="宋体"/>
          <w:kern w:val="0"/>
          <w:sz w:val="24"/>
          <w:szCs w:val="24"/>
          <w:lang w:val="en-US" w:eastAsia="zh-CN" w:bidi="ar"/>
        </w:rPr>
      </w:pPr>
    </w:p>
    <w:p w14:paraId="17FC6DFD">
      <w:pPr>
        <w:keepNext w:val="0"/>
        <w:keepLines w:val="0"/>
        <w:widowControl/>
        <w:suppressLineNumbers w:val="0"/>
        <w:jc w:val="left"/>
        <w:rPr>
          <w:rFonts w:ascii="宋体" w:hAnsi="宋体" w:eastAsia="宋体" w:cs="宋体"/>
          <w:kern w:val="0"/>
          <w:sz w:val="24"/>
          <w:szCs w:val="24"/>
          <w:lang w:val="en-US" w:eastAsia="zh-CN" w:bidi="ar"/>
        </w:rPr>
      </w:pPr>
    </w:p>
    <w:p w14:paraId="1389CCD7">
      <w:pPr>
        <w:keepNext w:val="0"/>
        <w:keepLines w:val="0"/>
        <w:widowControl/>
        <w:suppressLineNumbers w:val="0"/>
        <w:jc w:val="left"/>
        <w:rPr>
          <w:rFonts w:ascii="宋体" w:hAnsi="宋体" w:eastAsia="宋体" w:cs="宋体"/>
          <w:kern w:val="0"/>
          <w:sz w:val="24"/>
          <w:szCs w:val="24"/>
          <w:lang w:val="en-US" w:eastAsia="zh-CN" w:bidi="ar"/>
        </w:rPr>
      </w:pPr>
    </w:p>
    <w:p w14:paraId="642D988E">
      <w:pPr>
        <w:keepNext w:val="0"/>
        <w:keepLines w:val="0"/>
        <w:widowControl/>
        <w:suppressLineNumbers w:val="0"/>
        <w:jc w:val="left"/>
        <w:rPr>
          <w:rFonts w:ascii="宋体" w:hAnsi="宋体" w:eastAsia="宋体" w:cs="宋体"/>
          <w:kern w:val="0"/>
          <w:sz w:val="24"/>
          <w:szCs w:val="24"/>
          <w:lang w:val="en-US" w:eastAsia="zh-CN" w:bidi="ar"/>
        </w:rPr>
      </w:pPr>
    </w:p>
    <w:p w14:paraId="1369D826">
      <w:pPr>
        <w:keepNext w:val="0"/>
        <w:keepLines w:val="0"/>
        <w:widowControl/>
        <w:suppressLineNumbers w:val="0"/>
        <w:jc w:val="left"/>
      </w:pPr>
      <w:r>
        <w:rPr>
          <w:rFonts w:ascii="宋体" w:hAnsi="宋体" w:eastAsia="宋体" w:cs="宋体"/>
          <w:kern w:val="0"/>
          <w:sz w:val="24"/>
          <w:szCs w:val="24"/>
          <w:lang w:val="en-US" w:eastAsia="zh-CN" w:bidi="ar"/>
        </w:rPr>
        <w:t>包：4 </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包一般情形</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7746B7E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0C599F3A">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05C02BE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0B678A70">
            <w:pPr>
              <w:keepNext w:val="0"/>
              <w:keepLines w:val="0"/>
              <w:widowControl/>
              <w:suppressLineNumbers w:val="0"/>
              <w:jc w:val="left"/>
            </w:pPr>
            <w:r>
              <w:rPr>
                <w:rFonts w:ascii="宋体" w:hAnsi="宋体" w:eastAsia="宋体" w:cs="宋体"/>
                <w:kern w:val="0"/>
                <w:sz w:val="24"/>
                <w:szCs w:val="24"/>
                <w:lang w:val="en-US" w:eastAsia="zh-CN" w:bidi="ar"/>
              </w:rPr>
              <w:t>1、未按招标文件规定提交投标样品的将被视为无效投标。</w:t>
            </w:r>
          </w:p>
        </w:tc>
      </w:tr>
      <w:tr w14:paraId="0FBA308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0CC5A57C">
            <w:pPr>
              <w:keepNext w:val="0"/>
              <w:keepLines w:val="0"/>
              <w:widowControl/>
              <w:suppressLineNumbers w:val="0"/>
              <w:jc w:val="left"/>
            </w:pPr>
            <w:r>
              <w:rPr>
                <w:rFonts w:ascii="宋体" w:hAnsi="宋体" w:eastAsia="宋体" w:cs="宋体"/>
                <w:kern w:val="0"/>
                <w:sz w:val="24"/>
                <w:szCs w:val="24"/>
                <w:lang w:val="en-US" w:eastAsia="zh-CN" w:bidi="ar"/>
              </w:rPr>
              <w:t>2、投标人开标时须携带本项目所有检测报告原件(检测报告上委托方需为投标人名称)，如在评审过程中评标小组需要核查原件的，投标人须在30分钟内将检测报告原件提供给评标小组核查，未能提供检测报告原件或超过本项规定时间的，视为投标无效。</w:t>
            </w:r>
          </w:p>
        </w:tc>
      </w:tr>
    </w:tbl>
    <w:p w14:paraId="65EAA5AD">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技术符合性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079697E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6FE092F2">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42A44FA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7F074BD5">
            <w:pPr>
              <w:keepNext w:val="0"/>
              <w:keepLines w:val="0"/>
              <w:widowControl/>
              <w:suppressLineNumbers w:val="0"/>
              <w:jc w:val="left"/>
            </w:pPr>
            <w:r>
              <w:rPr>
                <w:rFonts w:ascii="宋体" w:hAnsi="宋体" w:eastAsia="宋体" w:cs="宋体"/>
                <w:kern w:val="0"/>
                <w:sz w:val="24"/>
                <w:szCs w:val="24"/>
                <w:lang w:val="en-US" w:eastAsia="zh-CN" w:bidi="ar"/>
              </w:rPr>
              <w:t>1、按照闽财购〔2010〕28号文件规定，若投标人的技术部分实际得分少于招标文件设定的技术部分总分50%（不含27.5分），即视为技术部分未实质性响应招标文件要求，按无效投标处理。</w:t>
            </w:r>
          </w:p>
        </w:tc>
      </w:tr>
    </w:tbl>
    <w:p w14:paraId="1FEF75B1">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商务符合性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5C839B6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0F559425">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5755561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04018AB2">
            <w:pPr>
              <w:keepNext w:val="0"/>
              <w:keepLines w:val="0"/>
              <w:widowControl/>
              <w:suppressLineNumbers w:val="0"/>
              <w:jc w:val="left"/>
            </w:pPr>
            <w:r>
              <w:rPr>
                <w:rFonts w:ascii="宋体" w:hAnsi="宋体" w:eastAsia="宋体" w:cs="宋体"/>
                <w:kern w:val="0"/>
                <w:sz w:val="24"/>
                <w:szCs w:val="24"/>
                <w:lang w:val="en-US" w:eastAsia="zh-CN" w:bidi="ar"/>
              </w:rPr>
              <w:t>1、交付地点、交付时间、交付条件、验收方式、支付方式、保修期等有不满足招标文件商务条件要求的，按无效投标处理。</w:t>
            </w:r>
          </w:p>
        </w:tc>
      </w:tr>
    </w:tbl>
    <w:p w14:paraId="7050EE1D">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附加符合性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1378407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344A9D88">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7FDFDC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48B34567">
            <w:pPr>
              <w:keepNext w:val="0"/>
              <w:keepLines w:val="0"/>
              <w:widowControl/>
              <w:suppressLineNumbers w:val="0"/>
              <w:jc w:val="left"/>
            </w:pPr>
            <w:r>
              <w:rPr>
                <w:rFonts w:ascii="宋体" w:hAnsi="宋体" w:eastAsia="宋体" w:cs="宋体"/>
                <w:kern w:val="0"/>
                <w:sz w:val="24"/>
                <w:szCs w:val="24"/>
                <w:lang w:val="en-US" w:eastAsia="zh-CN" w:bidi="ar"/>
              </w:rPr>
              <w:t>无</w:t>
            </w:r>
          </w:p>
        </w:tc>
      </w:tr>
    </w:tbl>
    <w:p w14:paraId="60F0F50F">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价格符合性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13ACF328">
        <w:tblPrEx>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17842B18">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1A810A2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1235B63C">
            <w:pPr>
              <w:keepNext w:val="0"/>
              <w:keepLines w:val="0"/>
              <w:widowControl/>
              <w:suppressLineNumbers w:val="0"/>
              <w:jc w:val="left"/>
            </w:pPr>
            <w:r>
              <w:rPr>
                <w:rFonts w:ascii="宋体" w:hAnsi="宋体" w:eastAsia="宋体" w:cs="宋体"/>
                <w:kern w:val="0"/>
                <w:sz w:val="24"/>
                <w:szCs w:val="24"/>
                <w:lang w:val="en-US" w:eastAsia="zh-CN" w:bidi="ar"/>
              </w:rPr>
              <w:t>1、投标供应商的报价超过最高限价的；</w:t>
            </w:r>
          </w:p>
        </w:tc>
      </w:tr>
      <w:tr w14:paraId="22F392F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407A694C">
            <w:pPr>
              <w:keepNext w:val="0"/>
              <w:keepLines w:val="0"/>
              <w:widowControl/>
              <w:suppressLineNumbers w:val="0"/>
              <w:jc w:val="left"/>
            </w:pPr>
            <w:r>
              <w:rPr>
                <w:rFonts w:ascii="宋体" w:hAnsi="宋体" w:eastAsia="宋体" w:cs="宋体"/>
                <w:kern w:val="0"/>
                <w:sz w:val="24"/>
                <w:szCs w:val="24"/>
                <w:lang w:val="en-US" w:eastAsia="zh-CN" w:bidi="ar"/>
              </w:rPr>
              <w:t>2、投标供应商的报价明显低于其他报价，使得其投标报价可能低于其个别成本的，有可能影响商品质量或不能诚信履约的，但不能合理说明原因或不能提供相关证明材料的；</w:t>
            </w:r>
          </w:p>
        </w:tc>
      </w:tr>
    </w:tbl>
    <w:p w14:paraId="35F4917D">
      <w:pPr>
        <w:keepNext w:val="0"/>
        <w:keepLines w:val="0"/>
        <w:widowControl/>
        <w:suppressLineNumbers w:val="0"/>
        <w:jc w:val="left"/>
        <w:rPr>
          <w:rFonts w:ascii="宋体" w:hAnsi="宋体" w:eastAsia="宋体" w:cs="宋体"/>
          <w:kern w:val="0"/>
          <w:sz w:val="24"/>
          <w:szCs w:val="24"/>
          <w:lang w:val="en-US" w:eastAsia="zh-CN" w:bidi="ar"/>
        </w:rPr>
      </w:pPr>
    </w:p>
    <w:p w14:paraId="603902F7">
      <w:pPr>
        <w:keepNext w:val="0"/>
        <w:keepLines w:val="0"/>
        <w:widowControl/>
        <w:suppressLineNumbers w:val="0"/>
        <w:jc w:val="left"/>
        <w:rPr>
          <w:rFonts w:ascii="宋体" w:hAnsi="宋体" w:eastAsia="宋体" w:cs="宋体"/>
          <w:kern w:val="0"/>
          <w:sz w:val="24"/>
          <w:szCs w:val="24"/>
          <w:lang w:val="en-US" w:eastAsia="zh-CN" w:bidi="ar"/>
        </w:rPr>
      </w:pPr>
    </w:p>
    <w:p w14:paraId="03AEC00C">
      <w:pPr>
        <w:keepNext w:val="0"/>
        <w:keepLines w:val="0"/>
        <w:widowControl/>
        <w:suppressLineNumbers w:val="0"/>
        <w:jc w:val="left"/>
        <w:rPr>
          <w:rFonts w:ascii="宋体" w:hAnsi="宋体" w:eastAsia="宋体" w:cs="宋体"/>
          <w:kern w:val="0"/>
          <w:sz w:val="24"/>
          <w:szCs w:val="24"/>
          <w:lang w:val="en-US" w:eastAsia="zh-CN" w:bidi="ar"/>
        </w:rPr>
      </w:pPr>
    </w:p>
    <w:p w14:paraId="0B6C6100">
      <w:pPr>
        <w:keepNext w:val="0"/>
        <w:keepLines w:val="0"/>
        <w:widowControl/>
        <w:suppressLineNumbers w:val="0"/>
        <w:jc w:val="left"/>
        <w:rPr>
          <w:rFonts w:ascii="宋体" w:hAnsi="宋体" w:eastAsia="宋体" w:cs="宋体"/>
          <w:kern w:val="0"/>
          <w:sz w:val="24"/>
          <w:szCs w:val="24"/>
          <w:lang w:val="en-US" w:eastAsia="zh-CN" w:bidi="ar"/>
        </w:rPr>
      </w:pPr>
    </w:p>
    <w:p w14:paraId="4F0DFC53">
      <w:pPr>
        <w:keepNext w:val="0"/>
        <w:keepLines w:val="0"/>
        <w:widowControl/>
        <w:suppressLineNumbers w:val="0"/>
        <w:jc w:val="left"/>
        <w:rPr>
          <w:rFonts w:ascii="宋体" w:hAnsi="宋体" w:eastAsia="宋体" w:cs="宋体"/>
          <w:kern w:val="0"/>
          <w:sz w:val="24"/>
          <w:szCs w:val="24"/>
          <w:lang w:val="en-US" w:eastAsia="zh-CN" w:bidi="ar"/>
        </w:rPr>
      </w:pPr>
    </w:p>
    <w:p w14:paraId="5E8B7406">
      <w:pPr>
        <w:keepNext w:val="0"/>
        <w:keepLines w:val="0"/>
        <w:widowControl/>
        <w:suppressLineNumbers w:val="0"/>
        <w:jc w:val="left"/>
        <w:rPr>
          <w:rFonts w:ascii="宋体" w:hAnsi="宋体" w:eastAsia="宋体" w:cs="宋体"/>
          <w:kern w:val="0"/>
          <w:sz w:val="24"/>
          <w:szCs w:val="24"/>
          <w:lang w:val="en-US" w:eastAsia="zh-CN" w:bidi="ar"/>
        </w:rPr>
      </w:pPr>
    </w:p>
    <w:p w14:paraId="4DA3B01E">
      <w:pPr>
        <w:keepNext w:val="0"/>
        <w:keepLines w:val="0"/>
        <w:widowControl/>
        <w:suppressLineNumbers w:val="0"/>
        <w:jc w:val="left"/>
        <w:rPr>
          <w:rFonts w:ascii="宋体" w:hAnsi="宋体" w:eastAsia="宋体" w:cs="宋体"/>
          <w:kern w:val="0"/>
          <w:sz w:val="24"/>
          <w:szCs w:val="24"/>
          <w:lang w:val="en-US" w:eastAsia="zh-CN" w:bidi="ar"/>
        </w:rPr>
      </w:pPr>
    </w:p>
    <w:p w14:paraId="46E40D35">
      <w:pPr>
        <w:keepNext w:val="0"/>
        <w:keepLines w:val="0"/>
        <w:widowControl/>
        <w:suppressLineNumbers w:val="0"/>
        <w:jc w:val="left"/>
        <w:rPr>
          <w:rFonts w:ascii="宋体" w:hAnsi="宋体" w:eastAsia="宋体" w:cs="宋体"/>
          <w:kern w:val="0"/>
          <w:sz w:val="24"/>
          <w:szCs w:val="24"/>
          <w:lang w:val="en-US" w:eastAsia="zh-CN" w:bidi="ar"/>
        </w:rPr>
      </w:pPr>
    </w:p>
    <w:p w14:paraId="5BD1C413">
      <w:pPr>
        <w:keepNext w:val="0"/>
        <w:keepLines w:val="0"/>
        <w:widowControl/>
        <w:suppressLineNumbers w:val="0"/>
        <w:jc w:val="left"/>
        <w:rPr>
          <w:rFonts w:ascii="宋体" w:hAnsi="宋体" w:eastAsia="宋体" w:cs="宋体"/>
          <w:kern w:val="0"/>
          <w:sz w:val="24"/>
          <w:szCs w:val="24"/>
          <w:lang w:val="en-US" w:eastAsia="zh-CN" w:bidi="ar"/>
        </w:rPr>
      </w:pPr>
    </w:p>
    <w:p w14:paraId="53844791">
      <w:pPr>
        <w:keepNext w:val="0"/>
        <w:keepLines w:val="0"/>
        <w:widowControl/>
        <w:suppressLineNumbers w:val="0"/>
        <w:jc w:val="left"/>
        <w:rPr>
          <w:rFonts w:ascii="宋体" w:hAnsi="宋体" w:eastAsia="宋体" w:cs="宋体"/>
          <w:kern w:val="0"/>
          <w:sz w:val="24"/>
          <w:szCs w:val="24"/>
          <w:lang w:val="en-US" w:eastAsia="zh-CN" w:bidi="ar"/>
        </w:rPr>
      </w:pPr>
    </w:p>
    <w:p w14:paraId="4E70F575">
      <w:pPr>
        <w:keepNext w:val="0"/>
        <w:keepLines w:val="0"/>
        <w:widowControl/>
        <w:suppressLineNumbers w:val="0"/>
        <w:jc w:val="left"/>
        <w:rPr>
          <w:rFonts w:ascii="宋体" w:hAnsi="宋体" w:eastAsia="宋体" w:cs="宋体"/>
          <w:kern w:val="0"/>
          <w:sz w:val="24"/>
          <w:szCs w:val="24"/>
          <w:lang w:val="en-US" w:eastAsia="zh-CN" w:bidi="ar"/>
        </w:rPr>
      </w:pPr>
    </w:p>
    <w:p w14:paraId="6B558102">
      <w:pPr>
        <w:keepNext w:val="0"/>
        <w:keepLines w:val="0"/>
        <w:widowControl/>
        <w:suppressLineNumbers w:val="0"/>
        <w:jc w:val="left"/>
        <w:rPr>
          <w:rFonts w:ascii="宋体" w:hAnsi="宋体" w:eastAsia="宋体" w:cs="宋体"/>
          <w:kern w:val="0"/>
          <w:sz w:val="24"/>
          <w:szCs w:val="24"/>
          <w:lang w:val="en-US" w:eastAsia="zh-CN" w:bidi="ar"/>
        </w:rPr>
      </w:pPr>
    </w:p>
    <w:p w14:paraId="11389206">
      <w:pPr>
        <w:keepNext w:val="0"/>
        <w:keepLines w:val="0"/>
        <w:widowControl/>
        <w:suppressLineNumbers w:val="0"/>
        <w:jc w:val="left"/>
        <w:rPr>
          <w:rFonts w:ascii="宋体" w:hAnsi="宋体" w:eastAsia="宋体" w:cs="宋体"/>
          <w:kern w:val="0"/>
          <w:sz w:val="24"/>
          <w:szCs w:val="24"/>
          <w:lang w:val="en-US" w:eastAsia="zh-CN" w:bidi="ar"/>
        </w:rPr>
      </w:pPr>
    </w:p>
    <w:p w14:paraId="59DA9BB9">
      <w:pPr>
        <w:keepNext w:val="0"/>
        <w:keepLines w:val="0"/>
        <w:widowControl/>
        <w:suppressLineNumbers w:val="0"/>
        <w:jc w:val="left"/>
      </w:pPr>
      <w:r>
        <w:rPr>
          <w:rFonts w:ascii="宋体" w:hAnsi="宋体" w:eastAsia="宋体" w:cs="宋体"/>
          <w:kern w:val="0"/>
          <w:sz w:val="24"/>
          <w:szCs w:val="24"/>
          <w:lang w:val="en-US" w:eastAsia="zh-CN" w:bidi="ar"/>
        </w:rPr>
        <w:t>包：5 </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包一般情形</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6573A40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7A39DF4D">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7E9D7F8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1FC87A28">
            <w:pPr>
              <w:keepNext w:val="0"/>
              <w:keepLines w:val="0"/>
              <w:widowControl/>
              <w:suppressLineNumbers w:val="0"/>
              <w:jc w:val="left"/>
            </w:pPr>
            <w:r>
              <w:rPr>
                <w:rFonts w:ascii="宋体" w:hAnsi="宋体" w:eastAsia="宋体" w:cs="宋体"/>
                <w:kern w:val="0"/>
                <w:sz w:val="24"/>
                <w:szCs w:val="24"/>
                <w:lang w:val="en-US" w:eastAsia="zh-CN" w:bidi="ar"/>
              </w:rPr>
              <w:t>1、未按招标文件规定提交投标样品的将被视为无效投标。</w:t>
            </w:r>
          </w:p>
        </w:tc>
      </w:tr>
      <w:tr w14:paraId="0F19D69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6E6F55F0">
            <w:pPr>
              <w:keepNext w:val="0"/>
              <w:keepLines w:val="0"/>
              <w:widowControl/>
              <w:suppressLineNumbers w:val="0"/>
              <w:jc w:val="left"/>
            </w:pPr>
            <w:r>
              <w:rPr>
                <w:rFonts w:ascii="宋体" w:hAnsi="宋体" w:eastAsia="宋体" w:cs="宋体"/>
                <w:kern w:val="0"/>
                <w:sz w:val="24"/>
                <w:szCs w:val="24"/>
                <w:lang w:val="en-US" w:eastAsia="zh-CN" w:bidi="ar"/>
              </w:rPr>
              <w:t>2、投标人开标时须携带本项目所有检测报告原件(检测报告上委托方需为投标人名称)，如在评审过程中评标小组需要核查原件的，投标人须在30分钟内将检测报告原件提供给评标小组核查，未能提供检测报告原件或超过本项规定时间的，视为投标无效。</w:t>
            </w:r>
          </w:p>
        </w:tc>
      </w:tr>
    </w:tbl>
    <w:p w14:paraId="000C7F13">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技术符合性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515C3A37">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78DFC87B">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1E9BF26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5253A41B">
            <w:pPr>
              <w:keepNext w:val="0"/>
              <w:keepLines w:val="0"/>
              <w:widowControl/>
              <w:suppressLineNumbers w:val="0"/>
              <w:jc w:val="left"/>
            </w:pPr>
            <w:r>
              <w:rPr>
                <w:rFonts w:ascii="宋体" w:hAnsi="宋体" w:eastAsia="宋体" w:cs="宋体"/>
                <w:kern w:val="0"/>
                <w:sz w:val="24"/>
                <w:szCs w:val="24"/>
                <w:lang w:val="en-US" w:eastAsia="zh-CN" w:bidi="ar"/>
              </w:rPr>
              <w:t>1、按照闽财购〔2010〕28号文件规定，若投标人的技术部分实际得分少于招标文件设定的技术部分总分50%（不含27.5分），即视为技术部分未实质性响应招标文件要求，按无效投标处理。</w:t>
            </w:r>
          </w:p>
        </w:tc>
      </w:tr>
    </w:tbl>
    <w:p w14:paraId="4A7431DE">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商务符合性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372F076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7B80792D">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758FB56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4D9A3D6D">
            <w:pPr>
              <w:keepNext w:val="0"/>
              <w:keepLines w:val="0"/>
              <w:widowControl/>
              <w:suppressLineNumbers w:val="0"/>
              <w:jc w:val="left"/>
            </w:pPr>
            <w:r>
              <w:rPr>
                <w:rFonts w:ascii="宋体" w:hAnsi="宋体" w:eastAsia="宋体" w:cs="宋体"/>
                <w:kern w:val="0"/>
                <w:sz w:val="24"/>
                <w:szCs w:val="24"/>
                <w:lang w:val="en-US" w:eastAsia="zh-CN" w:bidi="ar"/>
              </w:rPr>
              <w:t>1、交付地点、交付时间、交付条件、验收方式、支付方式、保修期等有不满足招标文件商务条件要求的，按无效投标处理。</w:t>
            </w:r>
          </w:p>
        </w:tc>
      </w:tr>
    </w:tbl>
    <w:p w14:paraId="06B76112">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附加符合性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5B29107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303D3C61">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70154AA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0203CDA9">
            <w:pPr>
              <w:keepNext w:val="0"/>
              <w:keepLines w:val="0"/>
              <w:widowControl/>
              <w:suppressLineNumbers w:val="0"/>
              <w:jc w:val="left"/>
            </w:pPr>
            <w:r>
              <w:rPr>
                <w:rFonts w:ascii="宋体" w:hAnsi="宋体" w:eastAsia="宋体" w:cs="宋体"/>
                <w:kern w:val="0"/>
                <w:sz w:val="24"/>
                <w:szCs w:val="24"/>
                <w:lang w:val="en-US" w:eastAsia="zh-CN" w:bidi="ar"/>
              </w:rPr>
              <w:t>无</w:t>
            </w:r>
          </w:p>
        </w:tc>
      </w:tr>
    </w:tbl>
    <w:p w14:paraId="5FA976D1">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价格符合性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0FB7881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28B755A0">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4AE24E7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46BAF83D">
            <w:pPr>
              <w:keepNext w:val="0"/>
              <w:keepLines w:val="0"/>
              <w:widowControl/>
              <w:suppressLineNumbers w:val="0"/>
              <w:jc w:val="left"/>
            </w:pPr>
            <w:r>
              <w:rPr>
                <w:rFonts w:ascii="宋体" w:hAnsi="宋体" w:eastAsia="宋体" w:cs="宋体"/>
                <w:kern w:val="0"/>
                <w:sz w:val="24"/>
                <w:szCs w:val="24"/>
                <w:lang w:val="en-US" w:eastAsia="zh-CN" w:bidi="ar"/>
              </w:rPr>
              <w:t>1、投标供应商的报价超过最高限价的；</w:t>
            </w:r>
          </w:p>
        </w:tc>
      </w:tr>
      <w:tr w14:paraId="68200D5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21694349">
            <w:pPr>
              <w:keepNext w:val="0"/>
              <w:keepLines w:val="0"/>
              <w:widowControl/>
              <w:suppressLineNumbers w:val="0"/>
              <w:jc w:val="left"/>
            </w:pPr>
            <w:r>
              <w:rPr>
                <w:rFonts w:ascii="宋体" w:hAnsi="宋体" w:eastAsia="宋体" w:cs="宋体"/>
                <w:kern w:val="0"/>
                <w:sz w:val="24"/>
                <w:szCs w:val="24"/>
                <w:lang w:val="en-US" w:eastAsia="zh-CN" w:bidi="ar"/>
              </w:rPr>
              <w:t>2、投标供应商的报价明显低于其他报价，使得其投标报价可能低于其个别成本的，有可能影响商品质量或不能诚信履约的，但不能合理说明原因或不能提供相关证明材料的；</w:t>
            </w:r>
          </w:p>
        </w:tc>
      </w:tr>
    </w:tbl>
    <w:p w14:paraId="13883538">
      <w:pPr>
        <w:keepNext w:val="0"/>
        <w:keepLines w:val="0"/>
        <w:widowControl/>
        <w:suppressLineNumbers w:val="0"/>
        <w:jc w:val="left"/>
        <w:rPr>
          <w:rFonts w:ascii="宋体" w:hAnsi="宋体" w:eastAsia="宋体" w:cs="宋体"/>
          <w:kern w:val="0"/>
          <w:sz w:val="24"/>
          <w:szCs w:val="24"/>
          <w:lang w:val="en-US" w:eastAsia="zh-CN" w:bidi="ar"/>
        </w:rPr>
      </w:pPr>
    </w:p>
    <w:p w14:paraId="6C481EF1">
      <w:pPr>
        <w:keepNext w:val="0"/>
        <w:keepLines w:val="0"/>
        <w:widowControl/>
        <w:suppressLineNumbers w:val="0"/>
        <w:jc w:val="left"/>
        <w:rPr>
          <w:rFonts w:ascii="宋体" w:hAnsi="宋体" w:eastAsia="宋体" w:cs="宋体"/>
          <w:kern w:val="0"/>
          <w:sz w:val="24"/>
          <w:szCs w:val="24"/>
          <w:lang w:val="en-US" w:eastAsia="zh-CN" w:bidi="ar"/>
        </w:rPr>
      </w:pPr>
    </w:p>
    <w:p w14:paraId="226D4493">
      <w:pPr>
        <w:keepNext w:val="0"/>
        <w:keepLines w:val="0"/>
        <w:widowControl/>
        <w:suppressLineNumbers w:val="0"/>
        <w:jc w:val="left"/>
        <w:rPr>
          <w:rFonts w:ascii="宋体" w:hAnsi="宋体" w:eastAsia="宋体" w:cs="宋体"/>
          <w:kern w:val="0"/>
          <w:sz w:val="24"/>
          <w:szCs w:val="24"/>
          <w:lang w:val="en-US" w:eastAsia="zh-CN" w:bidi="ar"/>
        </w:rPr>
      </w:pPr>
    </w:p>
    <w:p w14:paraId="11189B34">
      <w:pPr>
        <w:keepNext w:val="0"/>
        <w:keepLines w:val="0"/>
        <w:widowControl/>
        <w:suppressLineNumbers w:val="0"/>
        <w:jc w:val="left"/>
        <w:rPr>
          <w:rFonts w:ascii="宋体" w:hAnsi="宋体" w:eastAsia="宋体" w:cs="宋体"/>
          <w:kern w:val="0"/>
          <w:sz w:val="24"/>
          <w:szCs w:val="24"/>
          <w:lang w:val="en-US" w:eastAsia="zh-CN" w:bidi="ar"/>
        </w:rPr>
      </w:pPr>
    </w:p>
    <w:p w14:paraId="1ADEB1C9">
      <w:pPr>
        <w:keepNext w:val="0"/>
        <w:keepLines w:val="0"/>
        <w:widowControl/>
        <w:suppressLineNumbers w:val="0"/>
        <w:jc w:val="left"/>
        <w:rPr>
          <w:rFonts w:ascii="宋体" w:hAnsi="宋体" w:eastAsia="宋体" w:cs="宋体"/>
          <w:kern w:val="0"/>
          <w:sz w:val="24"/>
          <w:szCs w:val="24"/>
          <w:lang w:val="en-US" w:eastAsia="zh-CN" w:bidi="ar"/>
        </w:rPr>
      </w:pPr>
    </w:p>
    <w:p w14:paraId="7C52A8E3">
      <w:pPr>
        <w:keepNext w:val="0"/>
        <w:keepLines w:val="0"/>
        <w:widowControl/>
        <w:suppressLineNumbers w:val="0"/>
        <w:jc w:val="left"/>
        <w:rPr>
          <w:rFonts w:ascii="宋体" w:hAnsi="宋体" w:eastAsia="宋体" w:cs="宋体"/>
          <w:kern w:val="0"/>
          <w:sz w:val="24"/>
          <w:szCs w:val="24"/>
          <w:lang w:val="en-US" w:eastAsia="zh-CN" w:bidi="ar"/>
        </w:rPr>
      </w:pPr>
    </w:p>
    <w:p w14:paraId="22BEC970">
      <w:pPr>
        <w:keepNext w:val="0"/>
        <w:keepLines w:val="0"/>
        <w:widowControl/>
        <w:suppressLineNumbers w:val="0"/>
        <w:jc w:val="left"/>
        <w:rPr>
          <w:rFonts w:ascii="宋体" w:hAnsi="宋体" w:eastAsia="宋体" w:cs="宋体"/>
          <w:kern w:val="0"/>
          <w:sz w:val="24"/>
          <w:szCs w:val="24"/>
          <w:lang w:val="en-US" w:eastAsia="zh-CN" w:bidi="ar"/>
        </w:rPr>
      </w:pPr>
    </w:p>
    <w:p w14:paraId="0FBF2B6B">
      <w:pPr>
        <w:keepNext w:val="0"/>
        <w:keepLines w:val="0"/>
        <w:widowControl/>
        <w:suppressLineNumbers w:val="0"/>
        <w:jc w:val="left"/>
        <w:rPr>
          <w:rFonts w:ascii="宋体" w:hAnsi="宋体" w:eastAsia="宋体" w:cs="宋体"/>
          <w:kern w:val="0"/>
          <w:sz w:val="24"/>
          <w:szCs w:val="24"/>
          <w:lang w:val="en-US" w:eastAsia="zh-CN" w:bidi="ar"/>
        </w:rPr>
      </w:pPr>
    </w:p>
    <w:p w14:paraId="1F996344">
      <w:pPr>
        <w:keepNext w:val="0"/>
        <w:keepLines w:val="0"/>
        <w:widowControl/>
        <w:suppressLineNumbers w:val="0"/>
        <w:jc w:val="left"/>
        <w:rPr>
          <w:rFonts w:ascii="宋体" w:hAnsi="宋体" w:eastAsia="宋体" w:cs="宋体"/>
          <w:kern w:val="0"/>
          <w:sz w:val="24"/>
          <w:szCs w:val="24"/>
          <w:lang w:val="en-US" w:eastAsia="zh-CN" w:bidi="ar"/>
        </w:rPr>
      </w:pPr>
    </w:p>
    <w:p w14:paraId="3E32FCC6">
      <w:pPr>
        <w:keepNext w:val="0"/>
        <w:keepLines w:val="0"/>
        <w:widowControl/>
        <w:suppressLineNumbers w:val="0"/>
        <w:jc w:val="left"/>
        <w:rPr>
          <w:rFonts w:ascii="宋体" w:hAnsi="宋体" w:eastAsia="宋体" w:cs="宋体"/>
          <w:kern w:val="0"/>
          <w:sz w:val="24"/>
          <w:szCs w:val="24"/>
          <w:lang w:val="en-US" w:eastAsia="zh-CN" w:bidi="ar"/>
        </w:rPr>
      </w:pPr>
    </w:p>
    <w:p w14:paraId="2CCDCAC2">
      <w:pPr>
        <w:keepNext w:val="0"/>
        <w:keepLines w:val="0"/>
        <w:widowControl/>
        <w:suppressLineNumbers w:val="0"/>
        <w:jc w:val="left"/>
        <w:rPr>
          <w:rFonts w:ascii="宋体" w:hAnsi="宋体" w:eastAsia="宋体" w:cs="宋体"/>
          <w:kern w:val="0"/>
          <w:sz w:val="24"/>
          <w:szCs w:val="24"/>
          <w:lang w:val="en-US" w:eastAsia="zh-CN" w:bidi="ar"/>
        </w:rPr>
      </w:pPr>
    </w:p>
    <w:p w14:paraId="7A4CAE4B">
      <w:pPr>
        <w:keepNext w:val="0"/>
        <w:keepLines w:val="0"/>
        <w:widowControl/>
        <w:suppressLineNumbers w:val="0"/>
        <w:jc w:val="left"/>
        <w:rPr>
          <w:rFonts w:ascii="宋体" w:hAnsi="宋体" w:eastAsia="宋体" w:cs="宋体"/>
          <w:kern w:val="0"/>
          <w:sz w:val="24"/>
          <w:szCs w:val="24"/>
          <w:lang w:val="en-US" w:eastAsia="zh-CN" w:bidi="ar"/>
        </w:rPr>
      </w:pPr>
    </w:p>
    <w:p w14:paraId="22797D49">
      <w:pPr>
        <w:keepNext w:val="0"/>
        <w:keepLines w:val="0"/>
        <w:widowControl/>
        <w:suppressLineNumbers w:val="0"/>
        <w:jc w:val="left"/>
        <w:rPr>
          <w:rFonts w:ascii="宋体" w:hAnsi="宋体" w:eastAsia="宋体" w:cs="宋体"/>
          <w:kern w:val="0"/>
          <w:sz w:val="24"/>
          <w:szCs w:val="24"/>
          <w:lang w:val="en-US" w:eastAsia="zh-CN" w:bidi="ar"/>
        </w:rPr>
      </w:pPr>
    </w:p>
    <w:p w14:paraId="5B911662">
      <w:pPr>
        <w:keepNext w:val="0"/>
        <w:keepLines w:val="0"/>
        <w:widowControl/>
        <w:suppressLineNumbers w:val="0"/>
        <w:jc w:val="left"/>
      </w:pPr>
      <w:r>
        <w:rPr>
          <w:rFonts w:ascii="宋体" w:hAnsi="宋体" w:eastAsia="宋体" w:cs="宋体"/>
          <w:kern w:val="0"/>
          <w:sz w:val="24"/>
          <w:szCs w:val="24"/>
          <w:lang w:val="en-US" w:eastAsia="zh-CN" w:bidi="ar"/>
        </w:rPr>
        <w:t>包：6 </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包一般情形</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1073CC0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111E99AC">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74569EB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63BFD34E">
            <w:pPr>
              <w:keepNext w:val="0"/>
              <w:keepLines w:val="0"/>
              <w:widowControl/>
              <w:suppressLineNumbers w:val="0"/>
              <w:jc w:val="left"/>
            </w:pPr>
            <w:r>
              <w:rPr>
                <w:rFonts w:ascii="宋体" w:hAnsi="宋体" w:eastAsia="宋体" w:cs="宋体"/>
                <w:kern w:val="0"/>
                <w:sz w:val="24"/>
                <w:szCs w:val="24"/>
                <w:lang w:val="en-US" w:eastAsia="zh-CN" w:bidi="ar"/>
              </w:rPr>
              <w:t>1、未按招标文件规定提交投标样品的将被视为无效投标。</w:t>
            </w:r>
          </w:p>
        </w:tc>
      </w:tr>
      <w:tr w14:paraId="460207D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7E20A049">
            <w:pPr>
              <w:keepNext w:val="0"/>
              <w:keepLines w:val="0"/>
              <w:widowControl/>
              <w:suppressLineNumbers w:val="0"/>
              <w:jc w:val="left"/>
            </w:pPr>
            <w:r>
              <w:rPr>
                <w:rFonts w:ascii="宋体" w:hAnsi="宋体" w:eastAsia="宋体" w:cs="宋体"/>
                <w:kern w:val="0"/>
                <w:sz w:val="24"/>
                <w:szCs w:val="24"/>
                <w:lang w:val="en-US" w:eastAsia="zh-CN" w:bidi="ar"/>
              </w:rPr>
              <w:t>2、投标人开标时须携带本项目所有检测报告原件(检测报告上委托方需为投标人名称)，如在评审过程中评标小组需要核查原件的，投标人须在30分钟内将检测报告原件提供给评标小组核查，未能提供检测报告原件或超过本项规定时间的，视为投标无效。</w:t>
            </w:r>
          </w:p>
        </w:tc>
      </w:tr>
    </w:tbl>
    <w:p w14:paraId="5125E696">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技术符合性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19751FF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08495B6A">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4FD7BFD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6EAB1A79">
            <w:pPr>
              <w:keepNext w:val="0"/>
              <w:keepLines w:val="0"/>
              <w:widowControl/>
              <w:suppressLineNumbers w:val="0"/>
              <w:jc w:val="left"/>
            </w:pPr>
            <w:r>
              <w:rPr>
                <w:rFonts w:ascii="宋体" w:hAnsi="宋体" w:eastAsia="宋体" w:cs="宋体"/>
                <w:kern w:val="0"/>
                <w:sz w:val="24"/>
                <w:szCs w:val="24"/>
                <w:lang w:val="en-US" w:eastAsia="zh-CN" w:bidi="ar"/>
              </w:rPr>
              <w:t>1、按照闽财购〔2010〕28号文件规定，若投标人的技术部分实际得分少于招标文件设定的技术部分总分50%（不含27.5分），即视为技术部分未实质性响应招标文件要求，按无效投标处理。</w:t>
            </w:r>
          </w:p>
        </w:tc>
      </w:tr>
    </w:tbl>
    <w:p w14:paraId="403F403E">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商务符合性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44D1868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5C9391E5">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27A2937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357FCADA">
            <w:pPr>
              <w:keepNext w:val="0"/>
              <w:keepLines w:val="0"/>
              <w:widowControl/>
              <w:suppressLineNumbers w:val="0"/>
              <w:jc w:val="left"/>
            </w:pPr>
            <w:r>
              <w:rPr>
                <w:rFonts w:ascii="宋体" w:hAnsi="宋体" w:eastAsia="宋体" w:cs="宋体"/>
                <w:kern w:val="0"/>
                <w:sz w:val="24"/>
                <w:szCs w:val="24"/>
                <w:lang w:val="en-US" w:eastAsia="zh-CN" w:bidi="ar"/>
              </w:rPr>
              <w:t>1、交付地点、交付时间、交付条件、验收方式、支付方式、保修期等有不满足招标文件商务条件要求的，按无效投标处理。</w:t>
            </w:r>
          </w:p>
        </w:tc>
      </w:tr>
    </w:tbl>
    <w:p w14:paraId="1E5A01E5">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附加符合性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5D09F52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5E3C3555">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7A9100E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1074335E">
            <w:pPr>
              <w:keepNext w:val="0"/>
              <w:keepLines w:val="0"/>
              <w:widowControl/>
              <w:suppressLineNumbers w:val="0"/>
              <w:jc w:val="left"/>
            </w:pPr>
            <w:r>
              <w:rPr>
                <w:rFonts w:ascii="宋体" w:hAnsi="宋体" w:eastAsia="宋体" w:cs="宋体"/>
                <w:kern w:val="0"/>
                <w:sz w:val="24"/>
                <w:szCs w:val="24"/>
                <w:lang w:val="en-US" w:eastAsia="zh-CN" w:bidi="ar"/>
              </w:rPr>
              <w:t>无</w:t>
            </w:r>
          </w:p>
        </w:tc>
      </w:tr>
    </w:tbl>
    <w:p w14:paraId="50407641">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价格符合性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14A1EA7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3E09E264">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68D76B4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6A02F4A8">
            <w:pPr>
              <w:keepNext w:val="0"/>
              <w:keepLines w:val="0"/>
              <w:widowControl/>
              <w:suppressLineNumbers w:val="0"/>
              <w:jc w:val="left"/>
            </w:pPr>
            <w:r>
              <w:rPr>
                <w:rFonts w:ascii="宋体" w:hAnsi="宋体" w:eastAsia="宋体" w:cs="宋体"/>
                <w:kern w:val="0"/>
                <w:sz w:val="24"/>
                <w:szCs w:val="24"/>
                <w:lang w:val="en-US" w:eastAsia="zh-CN" w:bidi="ar"/>
              </w:rPr>
              <w:t>1、投标供应商的报价超过最高限价的；</w:t>
            </w:r>
          </w:p>
        </w:tc>
      </w:tr>
      <w:tr w14:paraId="254BCEA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42A637B8">
            <w:pPr>
              <w:keepNext w:val="0"/>
              <w:keepLines w:val="0"/>
              <w:widowControl/>
              <w:suppressLineNumbers w:val="0"/>
              <w:jc w:val="left"/>
            </w:pPr>
            <w:r>
              <w:rPr>
                <w:rFonts w:ascii="宋体" w:hAnsi="宋体" w:eastAsia="宋体" w:cs="宋体"/>
                <w:kern w:val="0"/>
                <w:sz w:val="24"/>
                <w:szCs w:val="24"/>
                <w:lang w:val="en-US" w:eastAsia="zh-CN" w:bidi="ar"/>
              </w:rPr>
              <w:t>2、投标供应商的报价明显低于其他报价，使得其投标报价可能低于其个别成本的，有可能影响商品质量或不能诚信履约的，但不能合理说明原因或不能提供相关证明材料的；</w:t>
            </w:r>
          </w:p>
        </w:tc>
      </w:tr>
    </w:tbl>
    <w:p w14:paraId="05BCCB9C">
      <w:pPr>
        <w:keepNext w:val="0"/>
        <w:keepLines w:val="0"/>
        <w:widowControl/>
        <w:suppressLineNumbers w:val="0"/>
        <w:jc w:val="left"/>
        <w:rPr>
          <w:rFonts w:ascii="宋体" w:hAnsi="宋体" w:eastAsia="宋体" w:cs="宋体"/>
          <w:kern w:val="0"/>
          <w:sz w:val="24"/>
          <w:szCs w:val="24"/>
          <w:lang w:val="en-US" w:eastAsia="zh-CN" w:bidi="ar"/>
        </w:rPr>
      </w:pPr>
    </w:p>
    <w:p w14:paraId="25A9A103">
      <w:pPr>
        <w:keepNext w:val="0"/>
        <w:keepLines w:val="0"/>
        <w:widowControl/>
        <w:suppressLineNumbers w:val="0"/>
        <w:jc w:val="left"/>
        <w:rPr>
          <w:rFonts w:ascii="宋体" w:hAnsi="宋体" w:eastAsia="宋体" w:cs="宋体"/>
          <w:kern w:val="0"/>
          <w:sz w:val="24"/>
          <w:szCs w:val="24"/>
          <w:lang w:val="en-US" w:eastAsia="zh-CN" w:bidi="ar"/>
        </w:rPr>
      </w:pPr>
    </w:p>
    <w:p w14:paraId="7599D5C3">
      <w:pPr>
        <w:keepNext w:val="0"/>
        <w:keepLines w:val="0"/>
        <w:widowControl/>
        <w:suppressLineNumbers w:val="0"/>
        <w:jc w:val="left"/>
        <w:rPr>
          <w:rFonts w:ascii="宋体" w:hAnsi="宋体" w:eastAsia="宋体" w:cs="宋体"/>
          <w:kern w:val="0"/>
          <w:sz w:val="24"/>
          <w:szCs w:val="24"/>
          <w:lang w:val="en-US" w:eastAsia="zh-CN" w:bidi="ar"/>
        </w:rPr>
      </w:pPr>
    </w:p>
    <w:p w14:paraId="528E391F">
      <w:pPr>
        <w:keepNext w:val="0"/>
        <w:keepLines w:val="0"/>
        <w:widowControl/>
        <w:suppressLineNumbers w:val="0"/>
        <w:jc w:val="left"/>
        <w:rPr>
          <w:rFonts w:ascii="宋体" w:hAnsi="宋体" w:eastAsia="宋体" w:cs="宋体"/>
          <w:kern w:val="0"/>
          <w:sz w:val="24"/>
          <w:szCs w:val="24"/>
          <w:lang w:val="en-US" w:eastAsia="zh-CN" w:bidi="ar"/>
        </w:rPr>
      </w:pPr>
    </w:p>
    <w:p w14:paraId="1E10DF9B">
      <w:pPr>
        <w:keepNext w:val="0"/>
        <w:keepLines w:val="0"/>
        <w:widowControl/>
        <w:suppressLineNumbers w:val="0"/>
        <w:jc w:val="left"/>
        <w:rPr>
          <w:rFonts w:ascii="宋体" w:hAnsi="宋体" w:eastAsia="宋体" w:cs="宋体"/>
          <w:kern w:val="0"/>
          <w:sz w:val="24"/>
          <w:szCs w:val="24"/>
          <w:lang w:val="en-US" w:eastAsia="zh-CN" w:bidi="ar"/>
        </w:rPr>
      </w:pPr>
    </w:p>
    <w:p w14:paraId="270B86B4">
      <w:pPr>
        <w:keepNext w:val="0"/>
        <w:keepLines w:val="0"/>
        <w:widowControl/>
        <w:suppressLineNumbers w:val="0"/>
        <w:jc w:val="left"/>
        <w:rPr>
          <w:rFonts w:ascii="宋体" w:hAnsi="宋体" w:eastAsia="宋体" w:cs="宋体"/>
          <w:kern w:val="0"/>
          <w:sz w:val="24"/>
          <w:szCs w:val="24"/>
          <w:lang w:val="en-US" w:eastAsia="zh-CN" w:bidi="ar"/>
        </w:rPr>
      </w:pPr>
    </w:p>
    <w:p w14:paraId="252FB506">
      <w:pPr>
        <w:keepNext w:val="0"/>
        <w:keepLines w:val="0"/>
        <w:widowControl/>
        <w:suppressLineNumbers w:val="0"/>
        <w:jc w:val="left"/>
        <w:rPr>
          <w:rFonts w:ascii="宋体" w:hAnsi="宋体" w:eastAsia="宋体" w:cs="宋体"/>
          <w:kern w:val="0"/>
          <w:sz w:val="24"/>
          <w:szCs w:val="24"/>
          <w:lang w:val="en-US" w:eastAsia="zh-CN" w:bidi="ar"/>
        </w:rPr>
      </w:pPr>
    </w:p>
    <w:p w14:paraId="651105C4">
      <w:pPr>
        <w:keepNext w:val="0"/>
        <w:keepLines w:val="0"/>
        <w:widowControl/>
        <w:suppressLineNumbers w:val="0"/>
        <w:jc w:val="left"/>
        <w:rPr>
          <w:rFonts w:ascii="宋体" w:hAnsi="宋体" w:eastAsia="宋体" w:cs="宋体"/>
          <w:kern w:val="0"/>
          <w:sz w:val="24"/>
          <w:szCs w:val="24"/>
          <w:lang w:val="en-US" w:eastAsia="zh-CN" w:bidi="ar"/>
        </w:rPr>
      </w:pPr>
    </w:p>
    <w:p w14:paraId="34D1D904">
      <w:pPr>
        <w:keepNext w:val="0"/>
        <w:keepLines w:val="0"/>
        <w:widowControl/>
        <w:suppressLineNumbers w:val="0"/>
        <w:jc w:val="left"/>
        <w:rPr>
          <w:rFonts w:ascii="宋体" w:hAnsi="宋体" w:eastAsia="宋体" w:cs="宋体"/>
          <w:kern w:val="0"/>
          <w:sz w:val="24"/>
          <w:szCs w:val="24"/>
          <w:lang w:val="en-US" w:eastAsia="zh-CN" w:bidi="ar"/>
        </w:rPr>
      </w:pPr>
    </w:p>
    <w:p w14:paraId="476DA456">
      <w:pPr>
        <w:keepNext w:val="0"/>
        <w:keepLines w:val="0"/>
        <w:widowControl/>
        <w:suppressLineNumbers w:val="0"/>
        <w:jc w:val="left"/>
        <w:rPr>
          <w:rFonts w:ascii="宋体" w:hAnsi="宋体" w:eastAsia="宋体" w:cs="宋体"/>
          <w:kern w:val="0"/>
          <w:sz w:val="24"/>
          <w:szCs w:val="24"/>
          <w:lang w:val="en-US" w:eastAsia="zh-CN" w:bidi="ar"/>
        </w:rPr>
      </w:pPr>
    </w:p>
    <w:p w14:paraId="4F89B97B">
      <w:pPr>
        <w:keepNext w:val="0"/>
        <w:keepLines w:val="0"/>
        <w:widowControl/>
        <w:suppressLineNumbers w:val="0"/>
        <w:jc w:val="left"/>
        <w:rPr>
          <w:rFonts w:ascii="宋体" w:hAnsi="宋体" w:eastAsia="宋体" w:cs="宋体"/>
          <w:kern w:val="0"/>
          <w:sz w:val="24"/>
          <w:szCs w:val="24"/>
          <w:lang w:val="en-US" w:eastAsia="zh-CN" w:bidi="ar"/>
        </w:rPr>
      </w:pPr>
    </w:p>
    <w:p w14:paraId="2DBEF6B3">
      <w:pPr>
        <w:keepNext w:val="0"/>
        <w:keepLines w:val="0"/>
        <w:widowControl/>
        <w:suppressLineNumbers w:val="0"/>
        <w:jc w:val="left"/>
        <w:rPr>
          <w:rFonts w:ascii="宋体" w:hAnsi="宋体" w:eastAsia="宋体" w:cs="宋体"/>
          <w:kern w:val="0"/>
          <w:sz w:val="24"/>
          <w:szCs w:val="24"/>
          <w:lang w:val="en-US" w:eastAsia="zh-CN" w:bidi="ar"/>
        </w:rPr>
      </w:pPr>
    </w:p>
    <w:p w14:paraId="2F88CD5F">
      <w:pPr>
        <w:keepNext w:val="0"/>
        <w:keepLines w:val="0"/>
        <w:widowControl/>
        <w:suppressLineNumbers w:val="0"/>
        <w:jc w:val="left"/>
        <w:rPr>
          <w:rFonts w:ascii="宋体" w:hAnsi="宋体" w:eastAsia="宋体" w:cs="宋体"/>
          <w:kern w:val="0"/>
          <w:sz w:val="24"/>
          <w:szCs w:val="24"/>
          <w:lang w:val="en-US" w:eastAsia="zh-CN" w:bidi="ar"/>
        </w:rPr>
      </w:pPr>
    </w:p>
    <w:p w14:paraId="48E5FF1A">
      <w:pPr>
        <w:keepNext w:val="0"/>
        <w:keepLines w:val="0"/>
        <w:widowControl/>
        <w:suppressLineNumbers w:val="0"/>
        <w:jc w:val="left"/>
      </w:pPr>
      <w:r>
        <w:rPr>
          <w:rFonts w:ascii="宋体" w:hAnsi="宋体" w:eastAsia="宋体" w:cs="宋体"/>
          <w:kern w:val="0"/>
          <w:sz w:val="24"/>
          <w:szCs w:val="24"/>
          <w:lang w:val="en-US" w:eastAsia="zh-CN" w:bidi="ar"/>
        </w:rPr>
        <w:t>包：7 </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包一般情形</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41F8B79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3877B830">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3909528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2A7CCBA7">
            <w:pPr>
              <w:keepNext w:val="0"/>
              <w:keepLines w:val="0"/>
              <w:widowControl/>
              <w:suppressLineNumbers w:val="0"/>
              <w:jc w:val="left"/>
            </w:pPr>
            <w:r>
              <w:rPr>
                <w:rFonts w:ascii="宋体" w:hAnsi="宋体" w:eastAsia="宋体" w:cs="宋体"/>
                <w:kern w:val="0"/>
                <w:sz w:val="24"/>
                <w:szCs w:val="24"/>
                <w:lang w:val="en-US" w:eastAsia="zh-CN" w:bidi="ar"/>
              </w:rPr>
              <w:t>1、未按招标文件规定提交投标样品的将被视为无效投标。</w:t>
            </w:r>
          </w:p>
        </w:tc>
      </w:tr>
      <w:tr w14:paraId="3DB29DB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2BFED143">
            <w:pPr>
              <w:keepNext w:val="0"/>
              <w:keepLines w:val="0"/>
              <w:widowControl/>
              <w:suppressLineNumbers w:val="0"/>
              <w:jc w:val="left"/>
            </w:pPr>
            <w:r>
              <w:rPr>
                <w:rFonts w:ascii="宋体" w:hAnsi="宋体" w:eastAsia="宋体" w:cs="宋体"/>
                <w:kern w:val="0"/>
                <w:sz w:val="24"/>
                <w:szCs w:val="24"/>
                <w:lang w:val="en-US" w:eastAsia="zh-CN" w:bidi="ar"/>
              </w:rPr>
              <w:t>2、投标人开标时须携带本项目所有检测报告原件(检测报告上委托方需为投标人名称)，如在评审过程中评标小组需要核查原件的，投标人须在30分钟内将检测报告原件提供给评标小组核查，未能提供检测报告原件或超过本项规定时间的，视为投标无效。</w:t>
            </w:r>
          </w:p>
        </w:tc>
      </w:tr>
    </w:tbl>
    <w:p w14:paraId="09C79AC3">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技术符合性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0B19EA3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3DBBFA6A">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17DFC01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5532D06C">
            <w:pPr>
              <w:keepNext w:val="0"/>
              <w:keepLines w:val="0"/>
              <w:widowControl/>
              <w:suppressLineNumbers w:val="0"/>
              <w:jc w:val="left"/>
            </w:pPr>
            <w:r>
              <w:rPr>
                <w:rFonts w:ascii="宋体" w:hAnsi="宋体" w:eastAsia="宋体" w:cs="宋体"/>
                <w:kern w:val="0"/>
                <w:sz w:val="24"/>
                <w:szCs w:val="24"/>
                <w:lang w:val="en-US" w:eastAsia="zh-CN" w:bidi="ar"/>
              </w:rPr>
              <w:t>1、按照闽财购〔2010〕28号文件规定，若投标人的技术部分实际得分少于招标文件设定的技术部分总分50%（不含27.5分），即视为技术部分未实质性响应招标文件要求，按无效投标处理。</w:t>
            </w:r>
          </w:p>
        </w:tc>
      </w:tr>
    </w:tbl>
    <w:p w14:paraId="17ADE49E">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商务符合性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26FED64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377C9BD4">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15997C9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03BB301F">
            <w:pPr>
              <w:keepNext w:val="0"/>
              <w:keepLines w:val="0"/>
              <w:widowControl/>
              <w:suppressLineNumbers w:val="0"/>
              <w:jc w:val="left"/>
            </w:pPr>
            <w:r>
              <w:rPr>
                <w:rFonts w:ascii="宋体" w:hAnsi="宋体" w:eastAsia="宋体" w:cs="宋体"/>
                <w:kern w:val="0"/>
                <w:sz w:val="24"/>
                <w:szCs w:val="24"/>
                <w:lang w:val="en-US" w:eastAsia="zh-CN" w:bidi="ar"/>
              </w:rPr>
              <w:t>1、交付地点、交付时间、交付条件、验收方式、支付方式、保修期等有不满足招标文件商务条件要求的，按无效投标处理。</w:t>
            </w:r>
          </w:p>
        </w:tc>
      </w:tr>
    </w:tbl>
    <w:p w14:paraId="34544076">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附加符合性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2901299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4E7D26C6">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420AB88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42560082">
            <w:pPr>
              <w:keepNext w:val="0"/>
              <w:keepLines w:val="0"/>
              <w:widowControl/>
              <w:suppressLineNumbers w:val="0"/>
              <w:jc w:val="left"/>
            </w:pPr>
            <w:r>
              <w:rPr>
                <w:rFonts w:ascii="宋体" w:hAnsi="宋体" w:eastAsia="宋体" w:cs="宋体"/>
                <w:kern w:val="0"/>
                <w:sz w:val="24"/>
                <w:szCs w:val="24"/>
                <w:lang w:val="en-US" w:eastAsia="zh-CN" w:bidi="ar"/>
              </w:rPr>
              <w:t>无</w:t>
            </w:r>
          </w:p>
        </w:tc>
      </w:tr>
    </w:tbl>
    <w:p w14:paraId="6C35C835">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价格符合性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205A2DB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5E603253">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6346F75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1D1686C3">
            <w:pPr>
              <w:keepNext w:val="0"/>
              <w:keepLines w:val="0"/>
              <w:widowControl/>
              <w:suppressLineNumbers w:val="0"/>
              <w:jc w:val="left"/>
            </w:pPr>
            <w:r>
              <w:rPr>
                <w:rFonts w:ascii="宋体" w:hAnsi="宋体" w:eastAsia="宋体" w:cs="宋体"/>
                <w:kern w:val="0"/>
                <w:sz w:val="24"/>
                <w:szCs w:val="24"/>
                <w:lang w:val="en-US" w:eastAsia="zh-CN" w:bidi="ar"/>
              </w:rPr>
              <w:t>1、投标供应商的报价超过最高限价的；</w:t>
            </w:r>
          </w:p>
        </w:tc>
      </w:tr>
      <w:tr w14:paraId="09A5E82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7746736F">
            <w:pPr>
              <w:keepNext w:val="0"/>
              <w:keepLines w:val="0"/>
              <w:widowControl/>
              <w:suppressLineNumbers w:val="0"/>
              <w:jc w:val="left"/>
            </w:pPr>
            <w:r>
              <w:rPr>
                <w:rFonts w:ascii="宋体" w:hAnsi="宋体" w:eastAsia="宋体" w:cs="宋体"/>
                <w:kern w:val="0"/>
                <w:sz w:val="24"/>
                <w:szCs w:val="24"/>
                <w:lang w:val="en-US" w:eastAsia="zh-CN" w:bidi="ar"/>
              </w:rPr>
              <w:t>2、投标供应商的报价明显低于其他报价，使得其投标报价可能低于其个别成本的，有可能影响商品质量或不能诚信履约的，但不能合理说明原因或不能提供相关证明材料的；</w:t>
            </w:r>
          </w:p>
        </w:tc>
      </w:tr>
    </w:tbl>
    <w:p w14:paraId="73010237">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14:paraId="17A9F8E8">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14:paraId="6DB91261">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14:paraId="72346499">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14:paraId="39567F23">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14:paraId="58D558F5">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14:paraId="574A57E6">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14:paraId="70A3694E">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14:paraId="0D528041">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14:paraId="21DE0813">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14:paraId="5A03DD54">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14:paraId="2757243F">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6.3澄清有关问题</w:t>
      </w:r>
    </w:p>
    <w:p w14:paraId="294C1FA8">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20"/>
        <w:textAlignment w:val="auto"/>
      </w:pPr>
      <w:r>
        <w:rPr>
          <w:rFonts w:hint="eastAsia" w:ascii="宋体" w:hAnsi="宋体" w:eastAsia="宋体" w:cs="宋体"/>
          <w:spacing w:val="0"/>
          <w:sz w:val="24"/>
          <w:szCs w:val="24"/>
        </w:rPr>
        <w:t>（1）对通过符合性审查的投标文件中含义不明确、同类问题表述不一致或有明显文字和计算错误的内容，评标委员会将以书面形式要求投标人作出必要的澄清、说明或补正。</w:t>
      </w:r>
    </w:p>
    <w:p w14:paraId="09D0EE31">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20"/>
        <w:textAlignment w:val="auto"/>
      </w:pPr>
      <w:r>
        <w:rPr>
          <w:rFonts w:hint="eastAsia" w:ascii="宋体" w:hAnsi="宋体" w:eastAsia="宋体" w:cs="宋体"/>
          <w:spacing w:val="0"/>
          <w:sz w:val="24"/>
          <w:szCs w:val="24"/>
        </w:rPr>
        <w:t>（2）投标人的澄清、说明或补正应由投标人代表在评标委员会规定的时间内（一般在半个小时左右，具体要求将根据实际情况在澄清通知中约定）以书面形式向评标委员会提交，前述澄清、说明或补正不得超出投标文件的范围或改变投标文件的实质性内容。若投标人未按照前述规定向评标委员会提交书面澄清、说明或补正，则评标委员会将按照不利于投标人的内容进行认定。</w:t>
      </w:r>
    </w:p>
    <w:p w14:paraId="587E345B">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（3）投标文件报价出现前后不一致的，除招标文件另有规定外，按照下列规定修正：</w:t>
      </w:r>
    </w:p>
    <w:p w14:paraId="4AC8A0C7">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①开标一览表内容与投标文件中相应内容不一致的，以开标一览表为准；</w:t>
      </w:r>
    </w:p>
    <w:p w14:paraId="38D836C0">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②大写金额和小写金额不一致的，以大写金额为准；</w:t>
      </w:r>
    </w:p>
    <w:p w14:paraId="28CC5323">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③单价金额小数点或百分比有明显错位的，以开标一览表的总价为准，并修改单价；</w:t>
      </w:r>
    </w:p>
    <w:p w14:paraId="6FB0D0BD">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④总价金额与按照单价汇总金额不一致的，以单价金额计算结果为准。</w:t>
      </w:r>
    </w:p>
    <w:p w14:paraId="334B250D">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Style w:val="8"/>
          <w:rFonts w:hint="eastAsia" w:ascii="宋体" w:hAnsi="宋体" w:eastAsia="宋体" w:cs="宋体"/>
          <w:b/>
          <w:spacing w:val="0"/>
          <w:sz w:val="24"/>
          <w:szCs w:val="24"/>
        </w:rPr>
        <w:t>※同时出现两种以上不一致的，按照前款规定的顺序修正。修正后的报价应按照本章第</w:t>
      </w:r>
      <w:r>
        <w:rPr>
          <w:rStyle w:val="8"/>
          <w:rFonts w:hint="default" w:ascii="Calibri" w:hAnsi="Calibri" w:cs="Calibri"/>
          <w:b/>
          <w:spacing w:val="0"/>
          <w:sz w:val="24"/>
          <w:szCs w:val="24"/>
        </w:rPr>
        <w:t>6.3</w:t>
      </w:r>
      <w:r>
        <w:rPr>
          <w:rStyle w:val="8"/>
          <w:rFonts w:hint="eastAsia" w:ascii="宋体" w:hAnsi="宋体" w:eastAsia="宋体" w:cs="宋体"/>
          <w:b/>
          <w:spacing w:val="0"/>
          <w:sz w:val="24"/>
          <w:szCs w:val="24"/>
        </w:rPr>
        <w:t>条第（</w:t>
      </w:r>
      <w:r>
        <w:rPr>
          <w:rStyle w:val="8"/>
          <w:rFonts w:hint="default" w:ascii="Calibri" w:hAnsi="Calibri" w:cs="Calibri"/>
          <w:b/>
          <w:spacing w:val="0"/>
          <w:sz w:val="24"/>
          <w:szCs w:val="24"/>
        </w:rPr>
        <w:t>1</w:t>
      </w:r>
      <w:r>
        <w:rPr>
          <w:rStyle w:val="8"/>
          <w:rFonts w:hint="eastAsia" w:ascii="宋体" w:hAnsi="宋体" w:eastAsia="宋体" w:cs="宋体"/>
          <w:b/>
          <w:spacing w:val="0"/>
          <w:sz w:val="24"/>
          <w:szCs w:val="24"/>
        </w:rPr>
        <w:t>）、（</w:t>
      </w:r>
      <w:r>
        <w:rPr>
          <w:rStyle w:val="8"/>
          <w:rFonts w:hint="default" w:ascii="Calibri" w:hAnsi="Calibri" w:cs="Calibri"/>
          <w:b/>
          <w:spacing w:val="0"/>
          <w:sz w:val="24"/>
          <w:szCs w:val="24"/>
        </w:rPr>
        <w:t>2</w:t>
      </w:r>
      <w:r>
        <w:rPr>
          <w:rStyle w:val="8"/>
          <w:rFonts w:hint="eastAsia" w:ascii="宋体" w:hAnsi="宋体" w:eastAsia="宋体" w:cs="宋体"/>
          <w:b/>
          <w:spacing w:val="0"/>
          <w:sz w:val="24"/>
          <w:szCs w:val="24"/>
        </w:rPr>
        <w:t>）款规定经投标人确认后产生约束力，投标人不确认的，其投标无效。</w:t>
      </w:r>
    </w:p>
    <w:p w14:paraId="54916F71">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（4）关于细微偏差</w:t>
      </w:r>
    </w:p>
    <w:p w14:paraId="3005AF68">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①细微偏差指投标文件实质性响应招标文件要求，但在个别地方存在漏项或提供了不完整的技术信息和数据等情况，并且补正这些遗漏或不完整不会对其他投标人造成不公平的结果。细微偏差不影响投标文件的有效性。</w:t>
      </w:r>
    </w:p>
    <w:p w14:paraId="1CC62279">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②评标委员会将以书面形式要求存在细微偏差的投标人在评标委员会规定的时间内予以补正。若无法补正，则评标委员会将按照不利于投标人的内容进行认定。</w:t>
      </w:r>
    </w:p>
    <w:p w14:paraId="3C183753">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（5）关于投标描述（即投标文件中描述的内容）</w:t>
      </w:r>
    </w:p>
    <w:p w14:paraId="5B8B2B60">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①投标描述前后不一致且不涉及证明材料的：按照本章第</w:t>
      </w:r>
      <w:r>
        <w:rPr>
          <w:rFonts w:hint="default" w:ascii="Calibri" w:hAnsi="Calibri" w:cs="Calibri"/>
          <w:spacing w:val="0"/>
          <w:sz w:val="24"/>
          <w:szCs w:val="24"/>
        </w:rPr>
        <w:t>6.3</w:t>
      </w:r>
      <w:r>
        <w:rPr>
          <w:rFonts w:hint="eastAsia" w:ascii="宋体" w:hAnsi="宋体" w:eastAsia="宋体" w:cs="宋体"/>
          <w:spacing w:val="0"/>
          <w:sz w:val="24"/>
          <w:szCs w:val="24"/>
        </w:rPr>
        <w:t>条第（</w:t>
      </w:r>
      <w:r>
        <w:rPr>
          <w:rFonts w:hint="default" w:ascii="Calibri" w:hAnsi="Calibri" w:cs="Calibri"/>
          <w:spacing w:val="0"/>
          <w:sz w:val="24"/>
          <w:szCs w:val="24"/>
        </w:rPr>
        <w:t>1</w:t>
      </w:r>
      <w:r>
        <w:rPr>
          <w:rFonts w:hint="eastAsia" w:ascii="宋体" w:hAnsi="宋体" w:eastAsia="宋体" w:cs="宋体"/>
          <w:spacing w:val="0"/>
          <w:sz w:val="24"/>
          <w:szCs w:val="24"/>
        </w:rPr>
        <w:t>）、（</w:t>
      </w:r>
      <w:r>
        <w:rPr>
          <w:rFonts w:hint="default" w:ascii="Calibri" w:hAnsi="Calibri" w:cs="Calibri"/>
          <w:spacing w:val="0"/>
          <w:sz w:val="24"/>
          <w:szCs w:val="24"/>
        </w:rPr>
        <w:t>2</w:t>
      </w:r>
      <w:r>
        <w:rPr>
          <w:rFonts w:hint="eastAsia" w:ascii="宋体" w:hAnsi="宋体" w:eastAsia="宋体" w:cs="宋体"/>
          <w:spacing w:val="0"/>
          <w:sz w:val="24"/>
          <w:szCs w:val="24"/>
        </w:rPr>
        <w:t>）款规定执行。</w:t>
      </w:r>
    </w:p>
    <w:p w14:paraId="6690ED99">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②投标描述与证明材料不一致或多份证明材料之间不一致的：</w:t>
      </w:r>
    </w:p>
    <w:p w14:paraId="32929BF1">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a.评标委员会将要求投标人进行书面澄清，并按照不利于投标人的内容进行评标。</w:t>
      </w:r>
    </w:p>
    <w:p w14:paraId="1F90EEE0">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b.投标人按照要求进行澄清的，采购人以澄清内容为准进行验收；投标人未按照要求进行澄清的，采购人以投标描述或证明材料中有利于采购人的内容进行验收。投标人应对证明材料的真实性、有效性承担责任。</w:t>
      </w:r>
    </w:p>
    <w:p w14:paraId="136BD116">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③若中标人的投标描述存在前后不一致、与证明材料不一致或多份证明材料之间不一致情形之一但在评标中未能发现，则采购人将以投标描述或证明材料中有利于采购人的内容进行验收，中标人应自行承担由此产生的风险及费用。</w:t>
      </w:r>
    </w:p>
    <w:p w14:paraId="66BDA9C9">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0"/>
        <w:textAlignment w:val="auto"/>
      </w:pPr>
      <w:r>
        <w:rPr>
          <w:rFonts w:hint="eastAsia" w:ascii="宋体" w:hAnsi="宋体" w:eastAsia="宋体" w:cs="宋体"/>
          <w:spacing w:val="0"/>
          <w:sz w:val="24"/>
          <w:szCs w:val="24"/>
        </w:rPr>
        <w:t>6.4比较与评价</w:t>
      </w:r>
    </w:p>
    <w:p w14:paraId="2A79B41A">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（1）按照本章第</w:t>
      </w:r>
      <w:r>
        <w:rPr>
          <w:rFonts w:hint="default" w:ascii="Calibri" w:hAnsi="Calibri" w:cs="Calibri"/>
          <w:spacing w:val="0"/>
          <w:sz w:val="24"/>
          <w:szCs w:val="24"/>
        </w:rPr>
        <w:t>7</w:t>
      </w:r>
      <w:r>
        <w:rPr>
          <w:rFonts w:hint="eastAsia" w:ascii="宋体" w:hAnsi="宋体" w:eastAsia="宋体" w:cs="宋体"/>
          <w:spacing w:val="0"/>
          <w:sz w:val="24"/>
          <w:szCs w:val="24"/>
        </w:rPr>
        <w:t>条载明的评标方法和标准，对符合性审查合格的投标文件进行比较与评价。</w:t>
      </w:r>
    </w:p>
    <w:p w14:paraId="4E89D04C">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（2）关于相同品牌产品</w:t>
      </w:r>
      <w:r>
        <w:rPr>
          <w:rStyle w:val="8"/>
          <w:rFonts w:hint="eastAsia" w:ascii="宋体" w:hAnsi="宋体" w:eastAsia="宋体" w:cs="宋体"/>
          <w:b/>
          <w:spacing w:val="0"/>
          <w:sz w:val="24"/>
          <w:szCs w:val="24"/>
        </w:rPr>
        <w:t>（政府采购服务类项目不适用本条款规定）</w:t>
      </w:r>
    </w:p>
    <w:p w14:paraId="726F02B1">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①采用最低评标价法的，提供相同品牌产品的不同投标人参加同一合同项下投标的，以其中通过资格审查、符合性审查且报价最低的参加评标；报价相同的，由评标委员会按照下列方式确定一个参加评标的投标人：</w:t>
      </w:r>
    </w:p>
    <w:p w14:paraId="63059A31">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a.招标文件规定的方式：</w:t>
      </w:r>
      <w:r>
        <w:rPr>
          <w:spacing w:val="0"/>
          <w:sz w:val="24"/>
          <w:szCs w:val="24"/>
          <w:u w:val="single"/>
        </w:rPr>
        <w:t>无</w:t>
      </w:r>
      <w:r>
        <w:rPr>
          <w:rFonts w:hint="eastAsia" w:ascii="宋体" w:hAnsi="宋体" w:eastAsia="宋体" w:cs="宋体"/>
          <w:spacing w:val="0"/>
          <w:sz w:val="24"/>
          <w:szCs w:val="24"/>
        </w:rPr>
        <w:t>。</w:t>
      </w:r>
    </w:p>
    <w:p w14:paraId="1AA07507">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b.招标文件未规定的，采取随机抽取方式确定，其他</w:t>
      </w:r>
      <w:r>
        <w:rPr>
          <w:rStyle w:val="8"/>
          <w:rFonts w:hint="eastAsia" w:ascii="宋体" w:hAnsi="宋体" w:eastAsia="宋体" w:cs="宋体"/>
          <w:b/>
          <w:spacing w:val="0"/>
          <w:sz w:val="24"/>
          <w:szCs w:val="24"/>
        </w:rPr>
        <w:t>投标无效。</w:t>
      </w:r>
    </w:p>
    <w:p w14:paraId="6C9001F5">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②采用综合评分法的，提供相同品牌产品且通过资格审查、符合性审查的不同投标人参加同一合同项下投标的，按一家投标人计算，评审后得分最高的同品牌投标人作为中标候选人推荐；评审得分相同的，由评标委员会按照下列方式确定一个投标人作为中标候选人推荐：</w:t>
      </w:r>
    </w:p>
    <w:p w14:paraId="5BDCA8E4">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a.招标文件规定的方式：</w:t>
      </w:r>
      <w:r>
        <w:rPr>
          <w:spacing w:val="0"/>
          <w:sz w:val="24"/>
          <w:szCs w:val="24"/>
          <w:u w:val="single"/>
        </w:rPr>
        <w:t>无</w:t>
      </w:r>
      <w:r>
        <w:rPr>
          <w:rFonts w:hint="eastAsia" w:ascii="宋体" w:hAnsi="宋体" w:eastAsia="宋体" w:cs="宋体"/>
          <w:spacing w:val="0"/>
          <w:sz w:val="24"/>
          <w:szCs w:val="24"/>
        </w:rPr>
        <w:t>。</w:t>
      </w:r>
    </w:p>
    <w:p w14:paraId="7765D929">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b.招标文件未规定的，采取随机抽取方式确定，其他同品牌投标人不作为中标候选人。</w:t>
      </w:r>
    </w:p>
    <w:p w14:paraId="45E12848">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③非单一产品采购项目，多家投标人提供的核心产品品牌相同的，按照本章第</w:t>
      </w:r>
      <w:r>
        <w:rPr>
          <w:rFonts w:hint="default" w:ascii="Calibri" w:hAnsi="Calibri" w:cs="Calibri"/>
          <w:spacing w:val="0"/>
          <w:sz w:val="24"/>
          <w:szCs w:val="24"/>
        </w:rPr>
        <w:t>6.4</w:t>
      </w:r>
      <w:r>
        <w:rPr>
          <w:rFonts w:hint="eastAsia" w:ascii="宋体" w:hAnsi="宋体" w:eastAsia="宋体" w:cs="宋体"/>
          <w:spacing w:val="0"/>
          <w:sz w:val="24"/>
          <w:szCs w:val="24"/>
        </w:rPr>
        <w:t>条第（</w:t>
      </w:r>
      <w:r>
        <w:rPr>
          <w:rFonts w:hint="default" w:ascii="Calibri" w:hAnsi="Calibri" w:cs="Calibri"/>
          <w:spacing w:val="0"/>
          <w:sz w:val="24"/>
          <w:szCs w:val="24"/>
        </w:rPr>
        <w:t>2</w:t>
      </w:r>
      <w:r>
        <w:rPr>
          <w:rFonts w:hint="eastAsia" w:ascii="宋体" w:hAnsi="宋体" w:eastAsia="宋体" w:cs="宋体"/>
          <w:spacing w:val="0"/>
          <w:sz w:val="24"/>
          <w:szCs w:val="24"/>
        </w:rPr>
        <w:t>）款第①、②规定处理。</w:t>
      </w:r>
    </w:p>
    <w:p w14:paraId="6526A548">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（3）漏（缺）项</w:t>
      </w:r>
    </w:p>
    <w:p w14:paraId="7CA03230">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①招标文件中要求列入报价的费用（含配置、功能），漏（缺）项的报价视为已经包括在投标总价中。</w:t>
      </w:r>
    </w:p>
    <w:p w14:paraId="6627ACC8">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②对多报项及赠送项的价格评标时不予核减，全部进入评标价评议。</w:t>
      </w:r>
    </w:p>
    <w:p w14:paraId="3D3E2F5F">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0"/>
        <w:textAlignment w:val="auto"/>
      </w:pPr>
      <w:r>
        <w:rPr>
          <w:rFonts w:hint="eastAsia" w:ascii="宋体" w:hAnsi="宋体" w:eastAsia="宋体" w:cs="宋体"/>
          <w:spacing w:val="0"/>
          <w:sz w:val="24"/>
          <w:szCs w:val="24"/>
        </w:rPr>
        <w:t>6.5推荐中标候选人：详见本章第</w:t>
      </w:r>
      <w:r>
        <w:rPr>
          <w:rFonts w:hint="default" w:ascii="Calibri" w:hAnsi="Calibri" w:cs="Calibri"/>
          <w:spacing w:val="0"/>
          <w:sz w:val="24"/>
          <w:szCs w:val="24"/>
        </w:rPr>
        <w:t>7.2</w:t>
      </w:r>
      <w:r>
        <w:rPr>
          <w:rFonts w:hint="eastAsia" w:ascii="宋体" w:hAnsi="宋体" w:eastAsia="宋体" w:cs="宋体"/>
          <w:spacing w:val="0"/>
          <w:sz w:val="24"/>
          <w:szCs w:val="24"/>
        </w:rPr>
        <w:t>条规定。</w:t>
      </w:r>
    </w:p>
    <w:p w14:paraId="3FE655A3">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0"/>
        <w:textAlignment w:val="auto"/>
      </w:pPr>
      <w:r>
        <w:rPr>
          <w:rFonts w:hint="eastAsia" w:ascii="宋体" w:hAnsi="宋体" w:eastAsia="宋体" w:cs="宋体"/>
          <w:spacing w:val="0"/>
          <w:sz w:val="24"/>
          <w:szCs w:val="24"/>
        </w:rPr>
        <w:t>6.6编写评标报告</w:t>
      </w:r>
    </w:p>
    <w:p w14:paraId="424C666F">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（1）评标报告由评标委员会负责编写。</w:t>
      </w:r>
    </w:p>
    <w:p w14:paraId="4E3E1227">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（2）评标报告应包括下列内容：</w:t>
      </w:r>
    </w:p>
    <w:p w14:paraId="11B11AE9">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①招标公告刊登的媒体名称、开标日期和地点；</w:t>
      </w:r>
    </w:p>
    <w:p w14:paraId="5C493334">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②投标人名单和评标委员会成员名单；</w:t>
      </w:r>
    </w:p>
    <w:p w14:paraId="2665C8FE">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③评标方法和标准；</w:t>
      </w:r>
    </w:p>
    <w:p w14:paraId="28375690">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④开标记录和评标情况及说明，包括无效投标人名单及原因；</w:t>
      </w:r>
    </w:p>
    <w:p w14:paraId="731DC53E">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⑤评标结果，包括中标候选人名单或确定的中标人；</w:t>
      </w:r>
    </w:p>
    <w:p w14:paraId="59B08A2F">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⑥其他需要说明的情况，包括但不限于：评标过程中投标人的澄清、说明或补正，评委更换等。</w:t>
      </w:r>
    </w:p>
    <w:p w14:paraId="4B72AE9A">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0"/>
        <w:textAlignment w:val="auto"/>
      </w:pPr>
      <w:r>
        <w:rPr>
          <w:rFonts w:hint="eastAsia" w:ascii="宋体" w:hAnsi="宋体" w:eastAsia="宋体" w:cs="宋体"/>
          <w:spacing w:val="0"/>
          <w:sz w:val="24"/>
          <w:szCs w:val="24"/>
        </w:rPr>
        <w:t>6.7评标委员会认为投标人的报价明显低于其他通过符合性审查投标人的报价，有可能影响产品质量或不能诚信履约的，应要求其在评标现场合理的时间内提供书面说明，必要时还应要求其一并提交有关证明材料；投标人不能证明其报价合理性的，评标委员会应将其作为</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处理。</w:t>
      </w:r>
    </w:p>
    <w:p w14:paraId="59CE251B">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0"/>
        <w:textAlignment w:val="auto"/>
      </w:pPr>
      <w:r>
        <w:rPr>
          <w:rFonts w:hint="eastAsia" w:ascii="宋体" w:hAnsi="宋体" w:eastAsia="宋体" w:cs="宋体"/>
          <w:spacing w:val="0"/>
          <w:sz w:val="24"/>
          <w:szCs w:val="24"/>
        </w:rPr>
        <w:t>6.8评委对需要共同认定的事项存在争议的，应按照少数服从多数的原则进行认定。</w:t>
      </w:r>
      <w:r>
        <w:rPr>
          <w:rStyle w:val="8"/>
          <w:rFonts w:hint="eastAsia" w:ascii="宋体" w:hAnsi="宋体" w:eastAsia="宋体" w:cs="宋体"/>
          <w:b/>
          <w:spacing w:val="0"/>
          <w:sz w:val="24"/>
          <w:szCs w:val="24"/>
        </w:rPr>
        <w:t>持不同意见的评委应在评标报告上签署不同意见及理由，否则视为同意评标报告。</w:t>
      </w:r>
    </w:p>
    <w:p w14:paraId="023CA27E">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0"/>
        <w:textAlignment w:val="auto"/>
      </w:pPr>
      <w:r>
        <w:rPr>
          <w:rFonts w:hint="eastAsia" w:ascii="宋体" w:hAnsi="宋体" w:eastAsia="宋体" w:cs="宋体"/>
          <w:spacing w:val="0"/>
          <w:sz w:val="24"/>
          <w:szCs w:val="24"/>
        </w:rPr>
        <w:t>6.9在评标过程中发现投标人有下列情形之一的，评标委员会应认定其</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，并书面报告本项目监督管理部门：</w:t>
      </w:r>
    </w:p>
    <w:p w14:paraId="221599D0">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（1）恶意串通（包括但不限于招标文件第三章第</w:t>
      </w:r>
      <w:r>
        <w:rPr>
          <w:rFonts w:hint="default" w:ascii="Calibri" w:hAnsi="Calibri" w:cs="Calibri"/>
          <w:spacing w:val="0"/>
          <w:sz w:val="24"/>
          <w:szCs w:val="24"/>
        </w:rPr>
        <w:t>9.7</w:t>
      </w:r>
      <w:r>
        <w:rPr>
          <w:rFonts w:hint="eastAsia" w:ascii="宋体" w:hAnsi="宋体" w:eastAsia="宋体" w:cs="宋体"/>
          <w:spacing w:val="0"/>
          <w:sz w:val="24"/>
          <w:szCs w:val="24"/>
        </w:rPr>
        <w:t>条规定情形）；</w:t>
      </w:r>
    </w:p>
    <w:p w14:paraId="08C93E8E">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（2）妨碍其他投标人的竞争行为；</w:t>
      </w:r>
    </w:p>
    <w:p w14:paraId="0AF3C14B">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（3）损害采购人或其他投标人的合法权益。</w:t>
      </w:r>
    </w:p>
    <w:p w14:paraId="2031A732">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0"/>
        <w:textAlignment w:val="auto"/>
      </w:pPr>
      <w:r>
        <w:rPr>
          <w:rFonts w:hint="eastAsia" w:ascii="宋体" w:hAnsi="宋体" w:eastAsia="宋体" w:cs="宋体"/>
          <w:spacing w:val="0"/>
          <w:sz w:val="24"/>
          <w:szCs w:val="24"/>
        </w:rPr>
        <w:t>6.10评标过程中，有下列情形之一的，应予废标：</w:t>
      </w:r>
    </w:p>
    <w:p w14:paraId="448B9E3E">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（1）符合性审查合格的投标人不足三家的；</w:t>
      </w:r>
    </w:p>
    <w:p w14:paraId="0F1144C8">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（2）有关法律、法规和规章规定废标的情形。</w:t>
      </w:r>
    </w:p>
    <w:p w14:paraId="5680BB55">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Style w:val="8"/>
          <w:rFonts w:hint="eastAsia" w:ascii="宋体" w:hAnsi="宋体" w:eastAsia="宋体" w:cs="宋体"/>
          <w:b/>
          <w:spacing w:val="0"/>
          <w:sz w:val="24"/>
          <w:szCs w:val="24"/>
        </w:rPr>
        <w:t>※若废标，则本次采购活动结束，</w:t>
      </w:r>
      <w:r>
        <w:rPr>
          <w:rFonts w:hint="eastAsia" w:ascii="宋体" w:hAnsi="宋体" w:eastAsia="宋体" w:cs="宋体"/>
          <w:spacing w:val="0"/>
          <w:sz w:val="24"/>
          <w:szCs w:val="24"/>
          <w:u w:val="single"/>
        </w:rPr>
        <w:t>福建省顺鑫招标代理有限公司</w:t>
      </w:r>
      <w:r>
        <w:rPr>
          <w:rStyle w:val="8"/>
          <w:rFonts w:hint="eastAsia" w:ascii="宋体" w:hAnsi="宋体" w:eastAsia="宋体" w:cs="宋体"/>
          <w:b/>
          <w:spacing w:val="0"/>
          <w:sz w:val="24"/>
          <w:szCs w:val="24"/>
        </w:rPr>
        <w:t>将依法组织后续采购活动（包括但不限于：重新招标、采用其他方式采购等）。</w:t>
      </w:r>
    </w:p>
    <w:p w14:paraId="11AC721C">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0"/>
        <w:textAlignment w:val="auto"/>
      </w:pPr>
      <w:r>
        <w:rPr>
          <w:rFonts w:hint="eastAsia" w:ascii="宋体" w:hAnsi="宋体" w:eastAsia="宋体" w:cs="宋体"/>
          <w:spacing w:val="0"/>
          <w:sz w:val="24"/>
          <w:szCs w:val="24"/>
        </w:rPr>
        <w:t>7、评标方法和标准</w:t>
      </w:r>
    </w:p>
    <w:p w14:paraId="5D713269">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0"/>
        <w:textAlignment w:val="auto"/>
      </w:pPr>
      <w:r>
        <w:rPr>
          <w:rFonts w:hint="eastAsia" w:ascii="宋体" w:hAnsi="宋体" w:eastAsia="宋体" w:cs="宋体"/>
          <w:spacing w:val="0"/>
          <w:sz w:val="24"/>
          <w:szCs w:val="24"/>
        </w:rPr>
        <w:t>7.1评标方法：</w:t>
      </w:r>
      <w:r>
        <w:rPr>
          <w:spacing w:val="0"/>
          <w:sz w:val="24"/>
          <w:szCs w:val="24"/>
        </w:rPr>
        <w:t> 合同包1,合同包2,合同包3,合同包4,合同包5,合同包6,合同包7采用综合评分法。</w:t>
      </w:r>
    </w:p>
    <w:p w14:paraId="0BECE020">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0"/>
        <w:textAlignment w:val="auto"/>
      </w:pPr>
      <w:r>
        <w:rPr>
          <w:rFonts w:hint="eastAsia" w:ascii="宋体" w:hAnsi="宋体" w:eastAsia="宋体" w:cs="宋体"/>
          <w:spacing w:val="0"/>
          <w:sz w:val="24"/>
          <w:szCs w:val="24"/>
        </w:rPr>
        <w:t>7.2评标标准</w:t>
      </w:r>
    </w:p>
    <w:p w14:paraId="6215388E">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2E62DF38">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5A9FDC07">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2D6F5D53">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3078E86B">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07339525">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56AFEADE">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19B66D11">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77EE22A6">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747C3F28">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0E5EC14A">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618AAA65">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4086CB31">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244E4A5C">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2A136756">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08C05799">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4690A0A4">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413CE632">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0DD88524">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50479FFC">
      <w:pPr>
        <w:pStyle w:val="5"/>
        <w:keepNext w:val="0"/>
        <w:keepLines w:val="0"/>
        <w:widowControl/>
        <w:suppressLineNumbers w:val="0"/>
        <w:shd w:val="clear" w:fill="FFFFFF"/>
        <w:spacing w:before="0" w:beforeAutospacing="0" w:after="150" w:afterAutospacing="0"/>
        <w:ind w:left="0" w:right="0"/>
        <w:rPr>
          <w:rFonts w:hint="eastAsia" w:ascii="微软雅黑" w:hAnsi="微软雅黑" w:eastAsia="微软雅黑" w:cs="微软雅黑"/>
          <w:color w:val="393939"/>
          <w:sz w:val="19"/>
          <w:szCs w:val="19"/>
        </w:rPr>
      </w:pPr>
      <w:r>
        <w:rPr>
          <w:rStyle w:val="8"/>
          <w:rFonts w:hint="eastAsia" w:ascii="宋体" w:hAnsi="宋体" w:eastAsia="宋体" w:cs="宋体"/>
          <w:b/>
          <w:color w:val="393939"/>
          <w:sz w:val="24"/>
          <w:szCs w:val="24"/>
          <w:shd w:val="clear" w:fill="FFFFFF"/>
        </w:rPr>
        <w:t>合同包1采用综合评分法</w:t>
      </w:r>
      <w:r>
        <w:rPr>
          <w:rFonts w:hint="eastAsia" w:ascii="宋体" w:hAnsi="宋体" w:eastAsia="宋体" w:cs="宋体"/>
          <w:color w:val="393939"/>
          <w:sz w:val="24"/>
          <w:szCs w:val="24"/>
          <w:shd w:val="clear" w:fill="FFFFFF"/>
        </w:rPr>
        <w:t>：</w:t>
      </w:r>
    </w:p>
    <w:p w14:paraId="37679590">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（1）投标文件满足招标文件全部实质性要求，且按照评审因素的量化指标评审得分（即评标总得分）最高的投标人为中标候选人。</w:t>
      </w:r>
    </w:p>
    <w:p w14:paraId="1815BCA6">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（2）每个投标人的评标总得分</w:t>
      </w:r>
      <w:r>
        <w:rPr>
          <w:rFonts w:hint="default" w:ascii="Calibri" w:hAnsi="Calibri" w:eastAsia="宋体" w:cs="Calibri"/>
          <w:sz w:val="24"/>
          <w:szCs w:val="24"/>
        </w:rPr>
        <w:t>FA</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（若有），其中：</w:t>
      </w:r>
      <w:r>
        <w:rPr>
          <w:rFonts w:hint="default" w:ascii="Calibri" w:hAnsi="Calibri" w:eastAsia="宋体" w:cs="Calibri"/>
          <w:sz w:val="24"/>
          <w:szCs w:val="24"/>
        </w:rPr>
        <w:t>F1</w:t>
      </w:r>
      <w:r>
        <w:rPr>
          <w:rFonts w:hint="eastAsia" w:ascii="宋体" w:hAnsi="宋体" w:eastAsia="宋体" w:cs="宋体"/>
          <w:sz w:val="24"/>
          <w:szCs w:val="24"/>
        </w:rPr>
        <w:t>指价格项评审因素得分、</w:t>
      </w:r>
      <w:r>
        <w:rPr>
          <w:rFonts w:hint="default" w:ascii="Calibri" w:hAnsi="Calibri" w:eastAsia="宋体" w:cs="Calibri"/>
          <w:sz w:val="24"/>
          <w:szCs w:val="24"/>
        </w:rPr>
        <w:t>F2</w:t>
      </w:r>
      <w:r>
        <w:rPr>
          <w:rFonts w:hint="eastAsia" w:ascii="宋体" w:hAnsi="宋体" w:eastAsia="宋体" w:cs="宋体"/>
          <w:sz w:val="24"/>
          <w:szCs w:val="24"/>
        </w:rPr>
        <w:t>指技术项评审因素得分、</w:t>
      </w:r>
      <w:r>
        <w:rPr>
          <w:rFonts w:hint="default" w:ascii="Calibri" w:hAnsi="Calibri" w:eastAsia="宋体" w:cs="Calibri"/>
          <w:sz w:val="24"/>
          <w:szCs w:val="24"/>
        </w:rPr>
        <w:t>F3</w:t>
      </w:r>
      <w:r>
        <w:rPr>
          <w:rFonts w:hint="eastAsia" w:ascii="宋体" w:hAnsi="宋体" w:eastAsia="宋体" w:cs="宋体"/>
          <w:sz w:val="24"/>
          <w:szCs w:val="24"/>
        </w:rPr>
        <w:t>指商务项评审因素得分，</w:t>
      </w:r>
      <w:r>
        <w:rPr>
          <w:rFonts w:hint="default" w:ascii="Calibri" w:hAnsi="Calibri" w:eastAsia="宋体" w:cs="Calibri"/>
          <w:sz w:val="24"/>
          <w:szCs w:val="24"/>
        </w:rPr>
        <w:t>A1</w:t>
      </w:r>
      <w:r>
        <w:rPr>
          <w:rFonts w:hint="eastAsia" w:ascii="宋体" w:hAnsi="宋体" w:eastAsia="宋体" w:cs="宋体"/>
          <w:sz w:val="24"/>
          <w:szCs w:val="24"/>
        </w:rPr>
        <w:t>指价格项评审因素所占的权重、</w:t>
      </w:r>
      <w:r>
        <w:rPr>
          <w:rFonts w:hint="default" w:ascii="Calibri" w:hAnsi="Calibri" w:eastAsia="宋体" w:cs="Calibri"/>
          <w:sz w:val="24"/>
          <w:szCs w:val="24"/>
        </w:rPr>
        <w:t>A2</w:t>
      </w:r>
      <w:r>
        <w:rPr>
          <w:rFonts w:hint="eastAsia" w:ascii="宋体" w:hAnsi="宋体" w:eastAsia="宋体" w:cs="宋体"/>
          <w:sz w:val="24"/>
          <w:szCs w:val="24"/>
        </w:rPr>
        <w:t>指技术项评审因素所占的权重、</w:t>
      </w:r>
      <w:r>
        <w:rPr>
          <w:rFonts w:hint="default" w:ascii="Calibri" w:hAnsi="Calibri" w:eastAsia="宋体" w:cs="Calibri"/>
          <w:sz w:val="24"/>
          <w:szCs w:val="24"/>
        </w:rPr>
        <w:t>A3</w:t>
      </w:r>
      <w:r>
        <w:rPr>
          <w:rFonts w:hint="eastAsia" w:ascii="宋体" w:hAnsi="宋体" w:eastAsia="宋体" w:cs="宋体"/>
          <w:sz w:val="24"/>
          <w:szCs w:val="24"/>
        </w:rPr>
        <w:t>指商务项评审因素所占的权重，</w:t>
      </w:r>
      <w:r>
        <w:rPr>
          <w:rFonts w:hint="default" w:ascii="Calibri" w:hAnsi="Calibri" w:eastAsia="宋体" w:cs="Calibri"/>
          <w:sz w:val="24"/>
          <w:szCs w:val="24"/>
        </w:rPr>
        <w:t>A1+A2+A3=1</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A3=100</w:t>
      </w:r>
      <w:r>
        <w:rPr>
          <w:rFonts w:hint="eastAsia" w:ascii="宋体" w:hAnsi="宋体" w:eastAsia="宋体" w:cs="宋体"/>
          <w:sz w:val="24"/>
          <w:szCs w:val="24"/>
        </w:rPr>
        <w:t>分（满分时），</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为加分项（即优先类节能产品、环境标志产品在采购活动中可享有的加分优惠）。</w:t>
      </w:r>
    </w:p>
    <w:p w14:paraId="54CD8477">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（3）各项评审因素的设置如下：</w:t>
      </w:r>
    </w:p>
    <w:p w14:paraId="208C9A61">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①价格项（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）满分为</w:t>
      </w:r>
      <w:r>
        <w:rPr>
          <w:rFonts w:hint="eastAsia" w:ascii="宋体" w:hAnsi="宋体" w:eastAsia="宋体" w:cs="宋体"/>
          <w:sz w:val="24"/>
          <w:szCs w:val="24"/>
          <w:u w:val="single"/>
        </w:rPr>
        <w:t>30</w:t>
      </w:r>
      <w:r>
        <w:rPr>
          <w:rFonts w:hint="eastAsia" w:ascii="宋体" w:hAnsi="宋体" w:eastAsia="宋体" w:cs="宋体"/>
          <w:sz w:val="24"/>
          <w:szCs w:val="24"/>
        </w:rPr>
        <w:t>分。</w:t>
      </w:r>
    </w:p>
    <w:p w14:paraId="08BF6CCF">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24"/>
          <w:szCs w:val="24"/>
        </w:rPr>
        <w:t>=</w:t>
      </w:r>
      <w:r>
        <w:rPr>
          <w:rFonts w:hint="eastAsia" w:ascii="宋体" w:hAnsi="宋体" w:eastAsia="宋体" w:cs="宋体"/>
          <w:sz w:val="24"/>
          <w:szCs w:val="24"/>
        </w:rPr>
        <w:t>（评标基准价／投标报价）×</w:t>
      </w:r>
      <w:r>
        <w:rPr>
          <w:rFonts w:hint="default" w:ascii="Calibri" w:hAnsi="Calibri" w:eastAsia="宋体" w:cs="Calibri"/>
          <w:sz w:val="24"/>
          <w:szCs w:val="24"/>
        </w:rPr>
        <w:t>100</w:t>
      </w:r>
      <w:r>
        <w:rPr>
          <w:rFonts w:hint="eastAsia" w:ascii="宋体" w:hAnsi="宋体" w:eastAsia="宋体" w:cs="宋体"/>
          <w:sz w:val="24"/>
          <w:szCs w:val="24"/>
        </w:rPr>
        <w:t>。因落实政府采购政策需进行价格扣除的，以扣除后的价格计算评标基准价和投标报价。</w:t>
      </w:r>
    </w:p>
    <w:p w14:paraId="41FDF9F3">
      <w:pPr>
        <w:pStyle w:val="5"/>
        <w:keepNext w:val="0"/>
        <w:keepLines w:val="0"/>
        <w:widowControl/>
        <w:suppressLineNumbers w:val="0"/>
        <w:spacing w:before="0" w:beforeAutospacing="0" w:after="150" w:afterAutospacing="0"/>
        <w:ind w:left="0" w:right="0" w:firstLine="480"/>
      </w:pPr>
      <w:r>
        <w:rPr>
          <w:rFonts w:hint="default" w:ascii="Calibri" w:hAnsi="Calibri" w:cs="Calibri"/>
          <w:sz w:val="24"/>
          <w:szCs w:val="24"/>
        </w:rPr>
        <w:t>b.</w:t>
      </w:r>
      <w:r>
        <w:rPr>
          <w:rFonts w:hint="eastAsia" w:ascii="宋体" w:hAnsi="宋体" w:eastAsia="宋体" w:cs="宋体"/>
          <w:sz w:val="24"/>
          <w:szCs w:val="24"/>
        </w:rPr>
        <w:t>价格扣除的规则如下：</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71"/>
        <w:gridCol w:w="7151"/>
      </w:tblGrid>
      <w:tr w14:paraId="639687C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14:paraId="5B73E108">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14:paraId="2FAC80CD">
            <w:pPr>
              <w:keepNext w:val="0"/>
              <w:keepLines w:val="0"/>
              <w:widowControl/>
              <w:suppressLineNumbers w:val="0"/>
              <w:jc w:val="center"/>
            </w:pPr>
            <w:r>
              <w:rPr>
                <w:rFonts w:ascii="宋体" w:hAnsi="宋体" w:eastAsia="宋体" w:cs="宋体"/>
                <w:kern w:val="0"/>
                <w:sz w:val="24"/>
                <w:szCs w:val="24"/>
                <w:lang w:val="en-US" w:eastAsia="zh-CN" w:bidi="ar"/>
              </w:rPr>
              <w:t>评标方法</w:t>
            </w:r>
          </w:p>
        </w:tc>
      </w:tr>
      <w:tr w14:paraId="230DA5C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14:paraId="244B046C">
            <w:pPr>
              <w:keepNext w:val="0"/>
              <w:keepLines w:val="0"/>
              <w:widowControl/>
              <w:suppressLineNumbers w:val="0"/>
              <w:jc w:val="left"/>
            </w:pPr>
            <w:r>
              <w:rPr>
                <w:rFonts w:ascii="宋体" w:hAnsi="宋体" w:eastAsia="宋体" w:cs="宋体"/>
                <w:kern w:val="0"/>
                <w:sz w:val="24"/>
                <w:szCs w:val="24"/>
                <w:lang w:val="en-US" w:eastAsia="zh-CN" w:bidi="ar"/>
              </w:rPr>
              <w:t>小型、微型企业，监狱企业，残疾人</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14:paraId="1F007BC2">
            <w:pPr>
              <w:keepNext w:val="0"/>
              <w:keepLines w:val="0"/>
              <w:widowControl/>
              <w:suppressLineNumbers w:val="0"/>
              <w:jc w:val="left"/>
            </w:pPr>
            <w:r>
              <w:rPr>
                <w:rStyle w:val="8"/>
                <w:rFonts w:ascii="宋体" w:hAnsi="宋体" w:eastAsia="宋体" w:cs="宋体"/>
                <w:b/>
                <w:kern w:val="0"/>
                <w:sz w:val="24"/>
                <w:szCs w:val="24"/>
                <w:lang w:val="en-US" w:eastAsia="zh-CN" w:bidi="ar"/>
              </w:rPr>
              <w:t>小型、微型企业，监狱企业，残疾人 《政府采购促进中小企业发展暂行办法》价格的扣除：1、根据财政部、工信部印发的《政府采购促进中小企业发展暂行办法》财库〔2011〕181号，本办法所称中小企业(含中型、小型、微型企业，下同)应当同时符合以下条件：(1)符合中小企业划分标准；(2)提供本企业制造的货物、承担的工程或者服务，或者提供其他中小企业制造的货物。本项所称货物不包括使用大型企业注册商标的货物。本办法所称中小企业划分标准，是指国务院有关部门根据企业从业人员、营业收入、资产总额等指标制定的中小企业划型标准。小型、微型企业提供中型企业制造的货物的，视同为中型企业。2、本项目为非专门面向中小企业的项目，对小型和微型企业产品的价格给予6%的扣除，用扣除后的价格参与评审。残疾人集中就业企业、监狱企业视同小型和微型企业，享受评审中价格扣除的政府采购政策。3、参加政府采购活动的中小企业应当提供《政府采购促进中小企业发展暂行办法》规定的《中小企业声明函》(见第七章投标文件格式)。4、政府采购对中小企业的认定，由企业所在地的县级以上中小企业主管部门负责。须提供中小企业主管部门的证明函，否则不予价格扣除。5、监狱企业参加政府采购活动时，应当提供由省级以上监狱管理局、戒毒管理局(含新疆生产建设兵团)出具的属于监狱企业的证明文件，否则不予价格扣除。注：投标人在报价时必须对提供本企业制造的货物、承担的工程或者服务，或者提供其他中小企业制造的货物单独在小型、微型企业产品统计表中填写，并提供相关证明资料复印件附在报价部分(电子证明资料应上传在对应评分模块)且加盖投标人公章。未单独分项报价或未按规定提供相关证明资料的不给予价格扣除。评标委员会审查此项响应性只根据投标文件本身的内容，而不寻求其他的外部证据。残疾人福利性单位产品《三部门联合发布关于促进残疾人就业政府采购政策的通知》价格的扣除：1、根据财政部、民政部、中国残疾人联合会印发的《三部门联合发布关于促进残疾人就业政府采购政策的通知》财库〔2017〕141号，依照《政府采购法》、《残疾人保障法》等法律法规及相关规定，享受政府采购支持政策的残疾人福利性单位应当同时满足以下条件：(1)安置的残疾人占本单位在职职工人数的比例不低于25%(含25%)，并且安置的残疾人人数不少于10人(含10人)；(2)依法与安置的每位残疾人签订了一年以上(含一年)的劳动合同或服务协议；(3)为安置的每位残疾人按月足额缴纳了基本养老保险、基本医疗保险、失业保险、工伤保险和生育保险等社会保险费；(4)通过银行等金融机构向安置的每位残疾人，按月支付了不低于单位所在区县适用的经省级人民政府批准的月最低工资标准的工资；(5)提供本单位制造的货物、承担的工程或者服务(以下简称产品)，或者提供其他残疾人福利性单位制造的货物(不包括使用非残疾人福利性单位注册商标的货物)。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2、符合条件的残疾人福利性单位在参加政府采购活动时，应当提供《三部门联合发布关于促进残疾人就业政府采购政策的通知》规定的《残疾人福利性单位声明函》(见招标文件格式)，并对声明的真实性负责。3、在政府采购活动中，残疾人福利性单位视同小型、微型企业，享受“《政府采购促进中小企业发展暂行办法》价格的扣除”的政府采购政策。残疾人福利性单位属于小型、微型企业的，不重复享受政策。</w:t>
            </w:r>
          </w:p>
        </w:tc>
      </w:tr>
    </w:tbl>
    <w:p w14:paraId="1F3BF000">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738C8E6">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5B895C91">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3B968CA">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5A21D532">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981A158">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AB806A6">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5F6D10F">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705DC205">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45F3BE9">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1E39F9D">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6488225">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51A14E78">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②技术项（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）满分为</w:t>
      </w:r>
      <w:r>
        <w:rPr>
          <w:rFonts w:hint="eastAsia" w:ascii="宋体" w:hAnsi="宋体" w:eastAsia="宋体" w:cs="宋体"/>
          <w:sz w:val="24"/>
          <w:szCs w:val="24"/>
          <w:u w:val="single"/>
        </w:rPr>
        <w:t>55</w:t>
      </w:r>
      <w:r>
        <w:rPr>
          <w:rFonts w:hint="eastAsia" w:ascii="宋体" w:hAnsi="宋体" w:eastAsia="宋体" w:cs="宋体"/>
          <w:sz w:val="24"/>
          <w:szCs w:val="24"/>
        </w:rPr>
        <w:t>分。</w:t>
      </w:r>
    </w:p>
    <w:tbl>
      <w:tblPr>
        <w:tblStyle w:val="6"/>
        <w:tblW w:w="834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221"/>
        <w:gridCol w:w="1050"/>
        <w:gridCol w:w="6069"/>
      </w:tblGrid>
      <w:tr w14:paraId="744108E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575" w:hRule="atLeast"/>
          <w:tblHeader/>
        </w:trPr>
        <w:tc>
          <w:tcPr>
            <w:tcW w:w="1221" w:type="dxa"/>
            <w:tcBorders>
              <w:top w:val="outset" w:color="auto" w:sz="6" w:space="0"/>
              <w:left w:val="outset" w:color="auto" w:sz="6" w:space="0"/>
              <w:bottom w:val="outset" w:color="auto" w:sz="6" w:space="0"/>
              <w:right w:val="outset" w:color="auto" w:sz="6" w:space="0"/>
            </w:tcBorders>
            <w:shd w:val="clear" w:color="auto" w:fill="auto"/>
            <w:vAlign w:val="center"/>
          </w:tcPr>
          <w:p w14:paraId="7715AD58">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14:paraId="3BDE6934">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069" w:type="dxa"/>
            <w:tcBorders>
              <w:top w:val="outset" w:color="auto" w:sz="6" w:space="0"/>
              <w:left w:val="outset" w:color="auto" w:sz="6" w:space="0"/>
              <w:bottom w:val="outset" w:color="auto" w:sz="6" w:space="0"/>
              <w:right w:val="outset" w:color="auto" w:sz="6" w:space="0"/>
            </w:tcBorders>
            <w:shd w:val="clear" w:color="auto" w:fill="auto"/>
            <w:vAlign w:val="center"/>
          </w:tcPr>
          <w:p w14:paraId="462BCC9F">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6A223C2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960" w:hRule="atLeast"/>
        </w:trPr>
        <w:tc>
          <w:tcPr>
            <w:tcW w:w="1221" w:type="dxa"/>
            <w:tcBorders>
              <w:top w:val="outset" w:color="auto" w:sz="6" w:space="0"/>
              <w:left w:val="outset" w:color="auto" w:sz="6" w:space="0"/>
              <w:bottom w:val="outset" w:color="auto" w:sz="6" w:space="0"/>
              <w:right w:val="outset" w:color="auto" w:sz="6" w:space="0"/>
            </w:tcBorders>
            <w:shd w:val="clear" w:color="auto" w:fill="auto"/>
            <w:vAlign w:val="center"/>
          </w:tcPr>
          <w:p w14:paraId="07245D73">
            <w:pPr>
              <w:keepNext w:val="0"/>
              <w:keepLines w:val="0"/>
              <w:widowControl/>
              <w:suppressLineNumbers w:val="0"/>
              <w:jc w:val="left"/>
            </w:pPr>
            <w:r>
              <w:rPr>
                <w:rFonts w:ascii="宋体" w:hAnsi="宋体" w:eastAsia="宋体" w:cs="宋体"/>
                <w:kern w:val="0"/>
                <w:sz w:val="24"/>
                <w:szCs w:val="24"/>
                <w:lang w:val="en-US" w:eastAsia="zh-CN" w:bidi="ar"/>
              </w:rPr>
              <w:t>A1、所投货物技术的响应情况</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14:paraId="40648B0F">
            <w:pPr>
              <w:keepNext w:val="0"/>
              <w:keepLines w:val="0"/>
              <w:widowControl/>
              <w:suppressLineNumbers w:val="0"/>
              <w:jc w:val="center"/>
            </w:pPr>
            <w:r>
              <w:rPr>
                <w:rFonts w:ascii="宋体" w:hAnsi="宋体" w:eastAsia="宋体" w:cs="宋体"/>
                <w:kern w:val="0"/>
                <w:sz w:val="24"/>
                <w:szCs w:val="24"/>
                <w:lang w:val="en-US" w:eastAsia="zh-CN" w:bidi="ar"/>
              </w:rPr>
              <w:t>38</w:t>
            </w:r>
          </w:p>
        </w:tc>
        <w:tc>
          <w:tcPr>
            <w:tcW w:w="6069" w:type="dxa"/>
            <w:tcBorders>
              <w:top w:val="outset" w:color="auto" w:sz="6" w:space="0"/>
              <w:left w:val="outset" w:color="auto" w:sz="6" w:space="0"/>
              <w:bottom w:val="outset" w:color="auto" w:sz="6" w:space="0"/>
              <w:right w:val="outset" w:color="auto" w:sz="6" w:space="0"/>
            </w:tcBorders>
            <w:shd w:val="clear" w:color="auto" w:fill="auto"/>
            <w:vAlign w:val="center"/>
          </w:tcPr>
          <w:p w14:paraId="3B89A359">
            <w:pPr>
              <w:keepNext w:val="0"/>
              <w:keepLines w:val="0"/>
              <w:widowControl/>
              <w:suppressLineNumbers w:val="0"/>
              <w:jc w:val="left"/>
            </w:pPr>
            <w:r>
              <w:rPr>
                <w:rFonts w:ascii="宋体" w:hAnsi="宋体" w:eastAsia="宋体" w:cs="宋体"/>
                <w:kern w:val="0"/>
                <w:sz w:val="24"/>
                <w:szCs w:val="24"/>
                <w:lang w:val="en-US" w:eastAsia="zh-CN" w:bidi="ar"/>
              </w:rPr>
              <w:t>根据投标人对招标文件第五章《招标内容及要求》二、技术和服务要求“合同包1：“棉大衣”参数要求的逐项响应、承诺的情况由评委进行评议评分，投标人所投产品完全满足招标文件技术规范及要求的得38分，有负偏离情况的，每负偏离一项扣3分，扣完为止，正偏离不加分。（满分38分）</w:t>
            </w:r>
          </w:p>
        </w:tc>
      </w:tr>
      <w:tr w14:paraId="0E697BA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804" w:hRule="atLeast"/>
        </w:trPr>
        <w:tc>
          <w:tcPr>
            <w:tcW w:w="1221" w:type="dxa"/>
            <w:tcBorders>
              <w:top w:val="outset" w:color="auto" w:sz="6" w:space="0"/>
              <w:left w:val="outset" w:color="auto" w:sz="6" w:space="0"/>
              <w:bottom w:val="outset" w:color="auto" w:sz="6" w:space="0"/>
              <w:right w:val="outset" w:color="auto" w:sz="6" w:space="0"/>
            </w:tcBorders>
            <w:shd w:val="clear" w:color="auto" w:fill="auto"/>
            <w:vAlign w:val="center"/>
          </w:tcPr>
          <w:p w14:paraId="61662C73">
            <w:pPr>
              <w:keepNext w:val="0"/>
              <w:keepLines w:val="0"/>
              <w:widowControl/>
              <w:suppressLineNumbers w:val="0"/>
              <w:jc w:val="left"/>
            </w:pPr>
            <w:r>
              <w:rPr>
                <w:rFonts w:ascii="宋体" w:hAnsi="宋体" w:eastAsia="宋体" w:cs="宋体"/>
                <w:kern w:val="0"/>
                <w:sz w:val="24"/>
                <w:szCs w:val="24"/>
                <w:lang w:val="en-US" w:eastAsia="zh-CN" w:bidi="ar"/>
              </w:rPr>
              <w:t>A2、生产情况说明</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14:paraId="7AB5A820">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69" w:type="dxa"/>
            <w:tcBorders>
              <w:top w:val="outset" w:color="auto" w:sz="6" w:space="0"/>
              <w:left w:val="outset" w:color="auto" w:sz="6" w:space="0"/>
              <w:bottom w:val="outset" w:color="auto" w:sz="6" w:space="0"/>
              <w:right w:val="outset" w:color="auto" w:sz="6" w:space="0"/>
            </w:tcBorders>
            <w:shd w:val="clear" w:color="auto" w:fill="auto"/>
            <w:vAlign w:val="center"/>
          </w:tcPr>
          <w:p w14:paraId="3D5650DD">
            <w:pPr>
              <w:keepNext w:val="0"/>
              <w:keepLines w:val="0"/>
              <w:widowControl/>
              <w:suppressLineNumbers w:val="0"/>
              <w:jc w:val="left"/>
            </w:pPr>
            <w:r>
              <w:rPr>
                <w:rFonts w:ascii="宋体" w:hAnsi="宋体" w:eastAsia="宋体" w:cs="宋体"/>
                <w:kern w:val="0"/>
                <w:sz w:val="24"/>
                <w:szCs w:val="24"/>
                <w:lang w:val="en-US" w:eastAsia="zh-CN" w:bidi="ar"/>
              </w:rPr>
              <w:t>根据投标人提供的生产计划，生产方案、产品工艺流程说明、加工设备清单等进行横向评议，由评委在0～3分之间进行评分。</w:t>
            </w:r>
          </w:p>
        </w:tc>
      </w:tr>
      <w:tr w14:paraId="16F971B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575" w:hRule="atLeast"/>
        </w:trPr>
        <w:tc>
          <w:tcPr>
            <w:tcW w:w="1221" w:type="dxa"/>
            <w:tcBorders>
              <w:top w:val="outset" w:color="auto" w:sz="6" w:space="0"/>
              <w:left w:val="outset" w:color="auto" w:sz="6" w:space="0"/>
              <w:bottom w:val="outset" w:color="auto" w:sz="6" w:space="0"/>
              <w:right w:val="outset" w:color="auto" w:sz="6" w:space="0"/>
            </w:tcBorders>
            <w:shd w:val="clear" w:color="auto" w:fill="auto"/>
            <w:vAlign w:val="center"/>
          </w:tcPr>
          <w:p w14:paraId="6FF45DB9">
            <w:pPr>
              <w:keepNext w:val="0"/>
              <w:keepLines w:val="0"/>
              <w:widowControl/>
              <w:suppressLineNumbers w:val="0"/>
              <w:jc w:val="left"/>
            </w:pPr>
            <w:r>
              <w:rPr>
                <w:rFonts w:ascii="宋体" w:hAnsi="宋体" w:eastAsia="宋体" w:cs="宋体"/>
                <w:kern w:val="0"/>
                <w:sz w:val="24"/>
                <w:szCs w:val="24"/>
                <w:lang w:val="en-US" w:eastAsia="zh-CN" w:bidi="ar"/>
              </w:rPr>
              <w:t>A3、项目保障措施</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14:paraId="10313BA3">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69" w:type="dxa"/>
            <w:tcBorders>
              <w:top w:val="outset" w:color="auto" w:sz="6" w:space="0"/>
              <w:left w:val="outset" w:color="auto" w:sz="6" w:space="0"/>
              <w:bottom w:val="outset" w:color="auto" w:sz="6" w:space="0"/>
              <w:right w:val="outset" w:color="auto" w:sz="6" w:space="0"/>
            </w:tcBorders>
            <w:shd w:val="clear" w:color="auto" w:fill="auto"/>
            <w:vAlign w:val="center"/>
          </w:tcPr>
          <w:p w14:paraId="22984FD5">
            <w:pPr>
              <w:keepNext w:val="0"/>
              <w:keepLines w:val="0"/>
              <w:widowControl/>
              <w:suppressLineNumbers w:val="0"/>
              <w:jc w:val="left"/>
            </w:pPr>
            <w:r>
              <w:rPr>
                <w:rFonts w:ascii="宋体" w:hAnsi="宋体" w:eastAsia="宋体" w:cs="宋体"/>
                <w:kern w:val="0"/>
                <w:sz w:val="24"/>
                <w:szCs w:val="24"/>
                <w:lang w:val="en-US" w:eastAsia="zh-CN" w:bidi="ar"/>
              </w:rPr>
              <w:t>根据投标人提供的产品检测方案、质量保障，供货保障方案详细程度等进行横向评议，保障方案罗列齐全详细且保障方案可行性强的得3分；方案一般但较为合理的得2分，保障方案不合理或未提供保障方案的本项不得分。</w:t>
            </w:r>
          </w:p>
        </w:tc>
      </w:tr>
      <w:tr w14:paraId="10B2242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804" w:hRule="atLeast"/>
        </w:trPr>
        <w:tc>
          <w:tcPr>
            <w:tcW w:w="1221" w:type="dxa"/>
            <w:tcBorders>
              <w:top w:val="outset" w:color="auto" w:sz="6" w:space="0"/>
              <w:left w:val="outset" w:color="auto" w:sz="6" w:space="0"/>
              <w:bottom w:val="outset" w:color="auto" w:sz="6" w:space="0"/>
              <w:right w:val="outset" w:color="auto" w:sz="6" w:space="0"/>
            </w:tcBorders>
            <w:shd w:val="clear" w:color="auto" w:fill="auto"/>
            <w:vAlign w:val="center"/>
          </w:tcPr>
          <w:p w14:paraId="2BBFF5D6">
            <w:pPr>
              <w:keepNext w:val="0"/>
              <w:keepLines w:val="0"/>
              <w:widowControl/>
              <w:suppressLineNumbers w:val="0"/>
              <w:jc w:val="left"/>
            </w:pPr>
            <w:r>
              <w:rPr>
                <w:rFonts w:ascii="宋体" w:hAnsi="宋体" w:eastAsia="宋体" w:cs="宋体"/>
                <w:kern w:val="0"/>
                <w:sz w:val="24"/>
                <w:szCs w:val="24"/>
                <w:lang w:val="en-US" w:eastAsia="zh-CN" w:bidi="ar"/>
              </w:rPr>
              <w:t>A4-1、样品情况</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14:paraId="7F8A0218">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69" w:type="dxa"/>
            <w:tcBorders>
              <w:top w:val="outset" w:color="auto" w:sz="6" w:space="0"/>
              <w:left w:val="outset" w:color="auto" w:sz="6" w:space="0"/>
              <w:bottom w:val="outset" w:color="auto" w:sz="6" w:space="0"/>
              <w:right w:val="outset" w:color="auto" w:sz="6" w:space="0"/>
            </w:tcBorders>
            <w:shd w:val="clear" w:color="auto" w:fill="auto"/>
            <w:vAlign w:val="center"/>
          </w:tcPr>
          <w:p w14:paraId="3AD33C50">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根据投标人所提供样品的整体质量情况由评委在0～3分之间进行评分。</w:t>
            </w:r>
          </w:p>
        </w:tc>
      </w:tr>
      <w:tr w14:paraId="6202628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04" w:hRule="atLeast"/>
        </w:trPr>
        <w:tc>
          <w:tcPr>
            <w:tcW w:w="1221" w:type="dxa"/>
            <w:tcBorders>
              <w:top w:val="outset" w:color="auto" w:sz="6" w:space="0"/>
              <w:left w:val="outset" w:color="auto" w:sz="6" w:space="0"/>
              <w:bottom w:val="outset" w:color="auto" w:sz="6" w:space="0"/>
              <w:right w:val="outset" w:color="auto" w:sz="6" w:space="0"/>
            </w:tcBorders>
            <w:shd w:val="clear" w:color="auto" w:fill="auto"/>
            <w:vAlign w:val="center"/>
          </w:tcPr>
          <w:p w14:paraId="3D613894">
            <w:pPr>
              <w:keepNext w:val="0"/>
              <w:keepLines w:val="0"/>
              <w:widowControl/>
              <w:suppressLineNumbers w:val="0"/>
              <w:jc w:val="left"/>
            </w:pPr>
            <w:r>
              <w:rPr>
                <w:rFonts w:ascii="宋体" w:hAnsi="宋体" w:eastAsia="宋体" w:cs="宋体"/>
                <w:kern w:val="0"/>
                <w:sz w:val="24"/>
                <w:szCs w:val="24"/>
                <w:lang w:val="en-US" w:eastAsia="zh-CN" w:bidi="ar"/>
              </w:rPr>
              <w:t>A4-2、样品情况</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14:paraId="0CA77982">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69" w:type="dxa"/>
            <w:tcBorders>
              <w:top w:val="outset" w:color="auto" w:sz="6" w:space="0"/>
              <w:left w:val="outset" w:color="auto" w:sz="6" w:space="0"/>
              <w:bottom w:val="outset" w:color="auto" w:sz="6" w:space="0"/>
              <w:right w:val="outset" w:color="auto" w:sz="6" w:space="0"/>
            </w:tcBorders>
            <w:shd w:val="clear" w:color="auto" w:fill="auto"/>
            <w:vAlign w:val="center"/>
          </w:tcPr>
          <w:p w14:paraId="737FCD3B">
            <w:pPr>
              <w:keepNext w:val="0"/>
              <w:keepLines w:val="0"/>
              <w:widowControl/>
              <w:suppressLineNumbers w:val="0"/>
              <w:jc w:val="left"/>
            </w:pPr>
            <w:r>
              <w:rPr>
                <w:rFonts w:ascii="宋体" w:hAnsi="宋体" w:eastAsia="宋体" w:cs="宋体"/>
                <w:kern w:val="0"/>
                <w:sz w:val="24"/>
                <w:szCs w:val="24"/>
                <w:lang w:val="en-US" w:eastAsia="zh-CN" w:bidi="ar"/>
              </w:rPr>
              <w:t>根据投标人所提供样品的面料情况由评委在0～3分之间进行评分。</w:t>
            </w:r>
          </w:p>
        </w:tc>
      </w:tr>
      <w:tr w14:paraId="56B7822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804" w:hRule="atLeast"/>
        </w:trPr>
        <w:tc>
          <w:tcPr>
            <w:tcW w:w="1221" w:type="dxa"/>
            <w:tcBorders>
              <w:top w:val="outset" w:color="auto" w:sz="6" w:space="0"/>
              <w:left w:val="outset" w:color="auto" w:sz="6" w:space="0"/>
              <w:bottom w:val="outset" w:color="auto" w:sz="6" w:space="0"/>
              <w:right w:val="outset" w:color="auto" w:sz="6" w:space="0"/>
            </w:tcBorders>
            <w:shd w:val="clear" w:color="auto" w:fill="auto"/>
            <w:vAlign w:val="center"/>
          </w:tcPr>
          <w:p w14:paraId="5E760A89">
            <w:pPr>
              <w:keepNext w:val="0"/>
              <w:keepLines w:val="0"/>
              <w:widowControl/>
              <w:suppressLineNumbers w:val="0"/>
              <w:jc w:val="left"/>
            </w:pPr>
            <w:r>
              <w:rPr>
                <w:rFonts w:ascii="宋体" w:hAnsi="宋体" w:eastAsia="宋体" w:cs="宋体"/>
                <w:kern w:val="0"/>
                <w:sz w:val="24"/>
                <w:szCs w:val="24"/>
                <w:lang w:val="en-US" w:eastAsia="zh-CN" w:bidi="ar"/>
              </w:rPr>
              <w:t>A4-3、样品情况</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14:paraId="5EFFF284">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69" w:type="dxa"/>
            <w:tcBorders>
              <w:top w:val="outset" w:color="auto" w:sz="6" w:space="0"/>
              <w:left w:val="outset" w:color="auto" w:sz="6" w:space="0"/>
              <w:bottom w:val="outset" w:color="auto" w:sz="6" w:space="0"/>
              <w:right w:val="outset" w:color="auto" w:sz="6" w:space="0"/>
            </w:tcBorders>
            <w:shd w:val="clear" w:color="auto" w:fill="auto"/>
            <w:vAlign w:val="center"/>
          </w:tcPr>
          <w:p w14:paraId="7CD4DA9C">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根据投标人所提供样品的整体工艺水平由评委在0～3分之间进行评分。</w:t>
            </w:r>
          </w:p>
        </w:tc>
      </w:tr>
      <w:tr w14:paraId="6861D1E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39" w:hRule="atLeast"/>
        </w:trPr>
        <w:tc>
          <w:tcPr>
            <w:tcW w:w="1221" w:type="dxa"/>
            <w:tcBorders>
              <w:top w:val="outset" w:color="auto" w:sz="6" w:space="0"/>
              <w:left w:val="outset" w:color="auto" w:sz="6" w:space="0"/>
              <w:bottom w:val="outset" w:color="auto" w:sz="6" w:space="0"/>
              <w:right w:val="outset" w:color="auto" w:sz="6" w:space="0"/>
            </w:tcBorders>
            <w:shd w:val="clear" w:color="auto" w:fill="auto"/>
            <w:vAlign w:val="center"/>
          </w:tcPr>
          <w:p w14:paraId="72BD1C7D">
            <w:pPr>
              <w:keepNext w:val="0"/>
              <w:keepLines w:val="0"/>
              <w:widowControl/>
              <w:suppressLineNumbers w:val="0"/>
              <w:jc w:val="left"/>
            </w:pPr>
            <w:r>
              <w:rPr>
                <w:rFonts w:ascii="宋体" w:hAnsi="宋体" w:eastAsia="宋体" w:cs="宋体"/>
                <w:kern w:val="0"/>
                <w:sz w:val="24"/>
                <w:szCs w:val="24"/>
                <w:lang w:val="en-US" w:eastAsia="zh-CN" w:bidi="ar"/>
              </w:rPr>
              <w:t>A4-4、样品情况</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14:paraId="0337B2FE">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069" w:type="dxa"/>
            <w:tcBorders>
              <w:top w:val="outset" w:color="auto" w:sz="6" w:space="0"/>
              <w:left w:val="outset" w:color="auto" w:sz="6" w:space="0"/>
              <w:bottom w:val="outset" w:color="auto" w:sz="6" w:space="0"/>
              <w:right w:val="outset" w:color="auto" w:sz="6" w:space="0"/>
            </w:tcBorders>
            <w:shd w:val="clear" w:color="auto" w:fill="auto"/>
            <w:vAlign w:val="center"/>
          </w:tcPr>
          <w:p w14:paraId="2B42E615">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根据投标人所提供样品的手感情况由评委在0～2分之间进行评分。</w:t>
            </w:r>
          </w:p>
        </w:tc>
      </w:tr>
    </w:tbl>
    <w:p w14:paraId="375BFDD3">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9AAB050">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7DA6D1A7">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68353809">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7914CCD">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3C5EE60">
      <w:pPr>
        <w:pStyle w:val="5"/>
        <w:keepNext w:val="0"/>
        <w:keepLines w:val="0"/>
        <w:widowControl/>
        <w:suppressLineNumbers w:val="0"/>
        <w:spacing w:before="0" w:beforeAutospacing="0" w:after="150" w:afterAutospacing="0"/>
        <w:ind w:right="0"/>
        <w:rPr>
          <w:rFonts w:hint="eastAsia" w:ascii="宋体" w:hAnsi="宋体" w:eastAsia="宋体" w:cs="宋体"/>
          <w:sz w:val="24"/>
          <w:szCs w:val="24"/>
        </w:rPr>
      </w:pPr>
    </w:p>
    <w:p w14:paraId="73098622">
      <w:pPr>
        <w:pStyle w:val="5"/>
        <w:keepNext w:val="0"/>
        <w:keepLines w:val="0"/>
        <w:widowControl/>
        <w:suppressLineNumbers w:val="0"/>
        <w:spacing w:before="0" w:beforeAutospacing="0" w:after="150" w:afterAutospacing="0"/>
        <w:ind w:right="0"/>
        <w:rPr>
          <w:rFonts w:hint="eastAsia" w:ascii="宋体" w:hAnsi="宋体" w:eastAsia="宋体" w:cs="宋体"/>
          <w:sz w:val="24"/>
          <w:szCs w:val="24"/>
        </w:rPr>
      </w:pPr>
    </w:p>
    <w:p w14:paraId="55895E18">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1F0BB88">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D5CAC24">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③商务项（</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）满分为</w:t>
      </w:r>
      <w:r>
        <w:rPr>
          <w:rFonts w:hint="eastAsia" w:ascii="宋体" w:hAnsi="宋体" w:eastAsia="宋体" w:cs="宋体"/>
          <w:sz w:val="24"/>
          <w:szCs w:val="24"/>
          <w:u w:val="single"/>
        </w:rPr>
        <w:t>15</w:t>
      </w:r>
      <w:r>
        <w:rPr>
          <w:rFonts w:hint="eastAsia" w:ascii="宋体" w:hAnsi="宋体" w:eastAsia="宋体" w:cs="宋体"/>
          <w:sz w:val="24"/>
          <w:szCs w:val="24"/>
        </w:rPr>
        <w:t>分。</w:t>
      </w:r>
    </w:p>
    <w:tbl>
      <w:tblPr>
        <w:tblStyle w:val="6"/>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146"/>
        <w:gridCol w:w="1065"/>
        <w:gridCol w:w="6089"/>
      </w:tblGrid>
      <w:tr w14:paraId="2940F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4" w:hRule="atLeast"/>
          <w:tblHeader/>
        </w:trPr>
        <w:tc>
          <w:tcPr>
            <w:tcW w:w="1146" w:type="dxa"/>
            <w:tcBorders>
              <w:tl2br w:val="nil"/>
              <w:tr2bl w:val="nil"/>
            </w:tcBorders>
            <w:shd w:val="clear" w:color="auto" w:fill="auto"/>
            <w:vAlign w:val="center"/>
          </w:tcPr>
          <w:p w14:paraId="7F3529B4">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065" w:type="dxa"/>
            <w:tcBorders>
              <w:tl2br w:val="nil"/>
              <w:tr2bl w:val="nil"/>
            </w:tcBorders>
            <w:shd w:val="clear" w:color="auto" w:fill="auto"/>
            <w:vAlign w:val="center"/>
          </w:tcPr>
          <w:p w14:paraId="5333E253">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089" w:type="dxa"/>
            <w:tcBorders>
              <w:tl2br w:val="nil"/>
              <w:tr2bl w:val="nil"/>
            </w:tcBorders>
            <w:shd w:val="clear" w:color="auto" w:fill="auto"/>
            <w:vAlign w:val="center"/>
          </w:tcPr>
          <w:p w14:paraId="5EFF0F02">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6F28B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3" w:hRule="atLeast"/>
        </w:trPr>
        <w:tc>
          <w:tcPr>
            <w:tcW w:w="1146" w:type="dxa"/>
            <w:tcBorders>
              <w:tl2br w:val="nil"/>
              <w:tr2bl w:val="nil"/>
            </w:tcBorders>
            <w:shd w:val="clear" w:color="auto" w:fill="auto"/>
            <w:vAlign w:val="center"/>
          </w:tcPr>
          <w:p w14:paraId="20CD3D1D">
            <w:pPr>
              <w:keepNext w:val="0"/>
              <w:keepLines w:val="0"/>
              <w:widowControl/>
              <w:suppressLineNumbers w:val="0"/>
              <w:jc w:val="left"/>
            </w:pPr>
            <w:r>
              <w:rPr>
                <w:rFonts w:ascii="宋体" w:hAnsi="宋体" w:eastAsia="宋体" w:cs="宋体"/>
                <w:kern w:val="0"/>
                <w:sz w:val="24"/>
                <w:szCs w:val="24"/>
                <w:lang w:val="en-US" w:eastAsia="zh-CN" w:bidi="ar"/>
              </w:rPr>
              <w:t>B1、业绩</w:t>
            </w:r>
          </w:p>
        </w:tc>
        <w:tc>
          <w:tcPr>
            <w:tcW w:w="1065" w:type="dxa"/>
            <w:tcBorders>
              <w:tl2br w:val="nil"/>
              <w:tr2bl w:val="nil"/>
            </w:tcBorders>
            <w:shd w:val="clear" w:color="auto" w:fill="auto"/>
            <w:vAlign w:val="center"/>
          </w:tcPr>
          <w:p w14:paraId="24BF0830">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89" w:type="dxa"/>
            <w:tcBorders>
              <w:tl2br w:val="nil"/>
              <w:tr2bl w:val="nil"/>
            </w:tcBorders>
            <w:shd w:val="clear" w:color="auto" w:fill="auto"/>
            <w:vAlign w:val="center"/>
          </w:tcPr>
          <w:p w14:paraId="65B7E73E">
            <w:pPr>
              <w:keepNext w:val="0"/>
              <w:keepLines w:val="0"/>
              <w:widowControl/>
              <w:suppressLineNumbers w:val="0"/>
              <w:jc w:val="left"/>
            </w:pPr>
            <w:r>
              <w:rPr>
                <w:rFonts w:ascii="宋体" w:hAnsi="宋体" w:eastAsia="宋体" w:cs="宋体"/>
                <w:kern w:val="0"/>
                <w:sz w:val="24"/>
                <w:szCs w:val="24"/>
                <w:lang w:val="en-US" w:eastAsia="zh-CN" w:bidi="ar"/>
              </w:rPr>
              <w:t>根据投标人所提供的从2016年1月1日起至本次投标截止日期(日期以验收报告时间为准)在国内所完成的同类项目业绩情况进行打分，每提供一份得1分，满分3分。【投标人须列表并提供该业绩项目的中标公告（提供相关网站中标公告的下载网页并注明网址）、中标通知书复印件、采购合同文本复印件，以及能够证明该业绩项目已经采购人验收合格的相关证明文件复印件，所有材料缺一不可，否则不得分。原件备查。】</w:t>
            </w:r>
          </w:p>
        </w:tc>
      </w:tr>
      <w:tr w14:paraId="39B96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0" w:hRule="atLeast"/>
        </w:trPr>
        <w:tc>
          <w:tcPr>
            <w:tcW w:w="1146" w:type="dxa"/>
            <w:tcBorders>
              <w:tl2br w:val="nil"/>
              <w:tr2bl w:val="nil"/>
            </w:tcBorders>
            <w:shd w:val="clear" w:color="auto" w:fill="auto"/>
            <w:vAlign w:val="center"/>
          </w:tcPr>
          <w:p w14:paraId="67D45098">
            <w:pPr>
              <w:keepNext w:val="0"/>
              <w:keepLines w:val="0"/>
              <w:widowControl/>
              <w:suppressLineNumbers w:val="0"/>
              <w:jc w:val="left"/>
            </w:pPr>
            <w:r>
              <w:rPr>
                <w:rFonts w:ascii="宋体" w:hAnsi="宋体" w:eastAsia="宋体" w:cs="宋体"/>
                <w:kern w:val="0"/>
                <w:sz w:val="24"/>
                <w:szCs w:val="24"/>
                <w:lang w:val="en-US" w:eastAsia="zh-CN" w:bidi="ar"/>
              </w:rPr>
              <w:t>B2、经营年限</w:t>
            </w:r>
          </w:p>
        </w:tc>
        <w:tc>
          <w:tcPr>
            <w:tcW w:w="1065" w:type="dxa"/>
            <w:tcBorders>
              <w:tl2br w:val="nil"/>
              <w:tr2bl w:val="nil"/>
            </w:tcBorders>
            <w:shd w:val="clear" w:color="auto" w:fill="auto"/>
            <w:vAlign w:val="center"/>
          </w:tcPr>
          <w:p w14:paraId="0324E793">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089" w:type="dxa"/>
            <w:tcBorders>
              <w:tl2br w:val="nil"/>
              <w:tr2bl w:val="nil"/>
            </w:tcBorders>
            <w:shd w:val="clear" w:color="auto" w:fill="auto"/>
            <w:vAlign w:val="center"/>
          </w:tcPr>
          <w:p w14:paraId="4DFFDAD6">
            <w:pPr>
              <w:keepNext w:val="0"/>
              <w:keepLines w:val="0"/>
              <w:widowControl/>
              <w:suppressLineNumbers w:val="0"/>
              <w:jc w:val="left"/>
            </w:pPr>
            <w:r>
              <w:rPr>
                <w:rFonts w:ascii="宋体" w:hAnsi="宋体" w:eastAsia="宋体" w:cs="宋体"/>
                <w:kern w:val="0"/>
                <w:sz w:val="24"/>
                <w:szCs w:val="24"/>
                <w:lang w:val="en-US" w:eastAsia="zh-CN" w:bidi="ar"/>
              </w:rPr>
              <w:t>根据投标人经营年限(以营业执照为准)进行评分：投标人经营年限大于10年的，每增加1年得1分。（满分2分）注：须提供营业执照复印件，否则不得分。</w:t>
            </w:r>
          </w:p>
        </w:tc>
      </w:tr>
      <w:tr w14:paraId="02B21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464" w:hRule="atLeast"/>
        </w:trPr>
        <w:tc>
          <w:tcPr>
            <w:tcW w:w="1146" w:type="dxa"/>
            <w:tcBorders>
              <w:tl2br w:val="nil"/>
              <w:tr2bl w:val="nil"/>
            </w:tcBorders>
            <w:shd w:val="clear" w:color="auto" w:fill="auto"/>
            <w:vAlign w:val="center"/>
          </w:tcPr>
          <w:p w14:paraId="383633CB">
            <w:pPr>
              <w:keepNext w:val="0"/>
              <w:keepLines w:val="0"/>
              <w:widowControl/>
              <w:suppressLineNumbers w:val="0"/>
              <w:jc w:val="left"/>
            </w:pPr>
            <w:r>
              <w:rPr>
                <w:rFonts w:ascii="宋体" w:hAnsi="宋体" w:eastAsia="宋体" w:cs="宋体"/>
                <w:kern w:val="0"/>
                <w:sz w:val="24"/>
                <w:szCs w:val="24"/>
                <w:lang w:val="en-US" w:eastAsia="zh-CN" w:bidi="ar"/>
              </w:rPr>
              <w:t>B3、售后服务</w:t>
            </w:r>
          </w:p>
        </w:tc>
        <w:tc>
          <w:tcPr>
            <w:tcW w:w="1065" w:type="dxa"/>
            <w:tcBorders>
              <w:tl2br w:val="nil"/>
              <w:tr2bl w:val="nil"/>
            </w:tcBorders>
            <w:shd w:val="clear" w:color="auto" w:fill="auto"/>
            <w:vAlign w:val="center"/>
          </w:tcPr>
          <w:p w14:paraId="454D853B">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89" w:type="dxa"/>
            <w:tcBorders>
              <w:tl2br w:val="nil"/>
              <w:tr2bl w:val="nil"/>
            </w:tcBorders>
            <w:shd w:val="clear" w:color="auto" w:fill="auto"/>
            <w:vAlign w:val="center"/>
          </w:tcPr>
          <w:p w14:paraId="4F2172EA">
            <w:pPr>
              <w:keepNext w:val="0"/>
              <w:keepLines w:val="0"/>
              <w:widowControl/>
              <w:suppressLineNumbers w:val="0"/>
              <w:jc w:val="left"/>
            </w:pPr>
            <w:r>
              <w:rPr>
                <w:rFonts w:ascii="宋体" w:hAnsi="宋体" w:eastAsia="宋体" w:cs="宋体"/>
                <w:kern w:val="0"/>
                <w:sz w:val="24"/>
                <w:szCs w:val="24"/>
                <w:lang w:val="en-US" w:eastAsia="zh-CN" w:bidi="ar"/>
              </w:rPr>
              <w:t>根据投标人提供的售后服务承诺、反馈方式，维护响应时间、响应方式等情况进行评分，售后服务承诺优于招标文件，响应时间短，响应方式多样的得3分，售后服务承诺较好，售后服务响应内容一般的</w:t>
            </w:r>
            <w:r>
              <w:rPr>
                <w:rFonts w:hint="eastAsia" w:ascii="宋体" w:hAnsi="宋体" w:eastAsia="宋体" w:cs="宋体"/>
                <w:kern w:val="0"/>
                <w:sz w:val="24"/>
                <w:szCs w:val="24"/>
                <w:lang w:val="en-US" w:eastAsia="zh-CN" w:bidi="ar"/>
              </w:rPr>
              <w:t>得</w:t>
            </w:r>
            <w:bookmarkStart w:id="0" w:name="_GoBack"/>
            <w:bookmarkEnd w:id="0"/>
            <w:r>
              <w:rPr>
                <w:rFonts w:ascii="宋体" w:hAnsi="宋体" w:eastAsia="宋体" w:cs="宋体"/>
                <w:kern w:val="0"/>
                <w:sz w:val="24"/>
                <w:szCs w:val="24"/>
                <w:lang w:val="en-US" w:eastAsia="zh-CN" w:bidi="ar"/>
              </w:rPr>
              <w:t>1分；未提供任何售后服务承诺的得0分。</w:t>
            </w:r>
          </w:p>
        </w:tc>
      </w:tr>
      <w:tr w14:paraId="3CFE8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90" w:hRule="atLeast"/>
        </w:trPr>
        <w:tc>
          <w:tcPr>
            <w:tcW w:w="1146" w:type="dxa"/>
            <w:tcBorders>
              <w:tl2br w:val="nil"/>
              <w:tr2bl w:val="nil"/>
            </w:tcBorders>
            <w:shd w:val="clear" w:color="auto" w:fill="auto"/>
            <w:vAlign w:val="center"/>
          </w:tcPr>
          <w:p w14:paraId="0087CE36">
            <w:pPr>
              <w:keepNext w:val="0"/>
              <w:keepLines w:val="0"/>
              <w:widowControl/>
              <w:suppressLineNumbers w:val="0"/>
              <w:jc w:val="left"/>
            </w:pPr>
            <w:r>
              <w:rPr>
                <w:rFonts w:ascii="宋体" w:hAnsi="宋体" w:eastAsia="宋体" w:cs="宋体"/>
                <w:kern w:val="0"/>
                <w:sz w:val="24"/>
                <w:szCs w:val="24"/>
                <w:lang w:val="en-US" w:eastAsia="zh-CN" w:bidi="ar"/>
              </w:rPr>
              <w:t>B4-1、综合实力</w:t>
            </w:r>
          </w:p>
        </w:tc>
        <w:tc>
          <w:tcPr>
            <w:tcW w:w="1065" w:type="dxa"/>
            <w:tcBorders>
              <w:tl2br w:val="nil"/>
              <w:tr2bl w:val="nil"/>
            </w:tcBorders>
            <w:shd w:val="clear" w:color="auto" w:fill="auto"/>
            <w:vAlign w:val="center"/>
          </w:tcPr>
          <w:p w14:paraId="5DD3E90A">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89" w:type="dxa"/>
            <w:tcBorders>
              <w:tl2br w:val="nil"/>
              <w:tr2bl w:val="nil"/>
            </w:tcBorders>
            <w:shd w:val="clear" w:color="auto" w:fill="auto"/>
            <w:vAlign w:val="center"/>
          </w:tcPr>
          <w:p w14:paraId="71EF19C2">
            <w:pPr>
              <w:keepNext w:val="0"/>
              <w:keepLines w:val="0"/>
              <w:widowControl/>
              <w:suppressLineNumbers w:val="0"/>
              <w:jc w:val="left"/>
            </w:pPr>
            <w:r>
              <w:rPr>
                <w:rFonts w:ascii="宋体" w:hAnsi="宋体" w:eastAsia="宋体" w:cs="宋体"/>
                <w:kern w:val="0"/>
                <w:sz w:val="24"/>
                <w:szCs w:val="24"/>
                <w:lang w:val="en-US" w:eastAsia="zh-CN" w:bidi="ar"/>
              </w:rPr>
              <w:t>根据投标人具有有效期内的ISO9001质量管理体系认证、ISO14001环境管理体系认证、职业健康安全管理体系认证的，每提供一项得1分，满分3分，未获认证或认证无效的不得分。投标人须同时提供有效证书复印件和全国认证认可信息公共服务平台（http://cx.cnca.cn）的查询结果“有效”的截图或网页打印件，并注明网址。</w:t>
            </w:r>
          </w:p>
        </w:tc>
      </w:tr>
      <w:tr w14:paraId="475EB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trPr>
        <w:tc>
          <w:tcPr>
            <w:tcW w:w="1146" w:type="dxa"/>
            <w:tcBorders>
              <w:tl2br w:val="nil"/>
              <w:tr2bl w:val="nil"/>
            </w:tcBorders>
            <w:shd w:val="clear" w:color="auto" w:fill="auto"/>
            <w:vAlign w:val="center"/>
          </w:tcPr>
          <w:p w14:paraId="03FBE09E">
            <w:pPr>
              <w:keepNext w:val="0"/>
              <w:keepLines w:val="0"/>
              <w:widowControl/>
              <w:suppressLineNumbers w:val="0"/>
              <w:jc w:val="left"/>
            </w:pPr>
            <w:r>
              <w:rPr>
                <w:rFonts w:ascii="宋体" w:hAnsi="宋体" w:eastAsia="宋体" w:cs="宋体"/>
                <w:kern w:val="0"/>
                <w:sz w:val="24"/>
                <w:szCs w:val="24"/>
                <w:lang w:val="en-US" w:eastAsia="zh-CN" w:bidi="ar"/>
              </w:rPr>
              <w:t>B4-2、综合实力</w:t>
            </w:r>
          </w:p>
        </w:tc>
        <w:tc>
          <w:tcPr>
            <w:tcW w:w="1065" w:type="dxa"/>
            <w:tcBorders>
              <w:tl2br w:val="nil"/>
              <w:tr2bl w:val="nil"/>
            </w:tcBorders>
            <w:shd w:val="clear" w:color="auto" w:fill="auto"/>
            <w:vAlign w:val="center"/>
          </w:tcPr>
          <w:p w14:paraId="5CE8B6F6">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089" w:type="dxa"/>
            <w:tcBorders>
              <w:tl2br w:val="nil"/>
              <w:tr2bl w:val="nil"/>
            </w:tcBorders>
            <w:shd w:val="clear" w:color="auto" w:fill="auto"/>
            <w:vAlign w:val="center"/>
          </w:tcPr>
          <w:p w14:paraId="212E8F81">
            <w:pPr>
              <w:keepNext w:val="0"/>
              <w:keepLines w:val="0"/>
              <w:widowControl/>
              <w:suppressLineNumbers w:val="0"/>
              <w:jc w:val="left"/>
            </w:pPr>
            <w:r>
              <w:rPr>
                <w:rFonts w:ascii="宋体" w:hAnsi="宋体" w:eastAsia="宋体" w:cs="宋体"/>
                <w:kern w:val="0"/>
                <w:sz w:val="24"/>
                <w:szCs w:val="24"/>
                <w:lang w:val="en-US" w:eastAsia="zh-CN" w:bidi="ar"/>
              </w:rPr>
              <w:t>投标人获得第三方认证机构颁发的AAA级企业信用等级证书的得1分。（须提供复印件并加盖公章，原件备查）。</w:t>
            </w:r>
          </w:p>
        </w:tc>
      </w:tr>
      <w:tr w14:paraId="77F97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0" w:hRule="atLeast"/>
        </w:trPr>
        <w:tc>
          <w:tcPr>
            <w:tcW w:w="1146" w:type="dxa"/>
            <w:tcBorders>
              <w:tl2br w:val="nil"/>
              <w:tr2bl w:val="nil"/>
            </w:tcBorders>
            <w:shd w:val="clear" w:color="auto" w:fill="auto"/>
            <w:vAlign w:val="center"/>
          </w:tcPr>
          <w:p w14:paraId="00E04078">
            <w:pPr>
              <w:keepNext w:val="0"/>
              <w:keepLines w:val="0"/>
              <w:widowControl/>
              <w:suppressLineNumbers w:val="0"/>
              <w:jc w:val="left"/>
            </w:pPr>
            <w:r>
              <w:rPr>
                <w:rFonts w:ascii="宋体" w:hAnsi="宋体" w:eastAsia="宋体" w:cs="宋体"/>
                <w:kern w:val="0"/>
                <w:sz w:val="24"/>
                <w:szCs w:val="24"/>
                <w:lang w:val="en-US" w:eastAsia="zh-CN" w:bidi="ar"/>
              </w:rPr>
              <w:t>B4-3、综合实力</w:t>
            </w:r>
          </w:p>
        </w:tc>
        <w:tc>
          <w:tcPr>
            <w:tcW w:w="1065" w:type="dxa"/>
            <w:tcBorders>
              <w:tl2br w:val="nil"/>
              <w:tr2bl w:val="nil"/>
            </w:tcBorders>
            <w:shd w:val="clear" w:color="auto" w:fill="auto"/>
            <w:vAlign w:val="center"/>
          </w:tcPr>
          <w:p w14:paraId="1BEF11F2">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089" w:type="dxa"/>
            <w:tcBorders>
              <w:tl2br w:val="nil"/>
              <w:tr2bl w:val="nil"/>
            </w:tcBorders>
            <w:shd w:val="clear" w:color="auto" w:fill="auto"/>
            <w:vAlign w:val="center"/>
          </w:tcPr>
          <w:p w14:paraId="2559A112">
            <w:pPr>
              <w:keepNext w:val="0"/>
              <w:keepLines w:val="0"/>
              <w:widowControl/>
              <w:suppressLineNumbers w:val="0"/>
              <w:jc w:val="left"/>
            </w:pPr>
            <w:r>
              <w:rPr>
                <w:rFonts w:ascii="宋体" w:hAnsi="宋体" w:eastAsia="宋体" w:cs="宋体"/>
                <w:kern w:val="0"/>
                <w:sz w:val="24"/>
                <w:szCs w:val="24"/>
                <w:lang w:val="en-US" w:eastAsia="zh-CN" w:bidi="ar"/>
              </w:rPr>
              <w:t>投标人获得省级或以上政府部门、工商部门或者第三方认证机构颁发的 “重合同守信用”证书的得1分，（须提供复印件并加盖公章，原件备查）。</w:t>
            </w:r>
          </w:p>
        </w:tc>
      </w:tr>
      <w:tr w14:paraId="5754F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112" w:hRule="atLeast"/>
        </w:trPr>
        <w:tc>
          <w:tcPr>
            <w:tcW w:w="1146" w:type="dxa"/>
            <w:tcBorders>
              <w:tl2br w:val="nil"/>
              <w:tr2bl w:val="nil"/>
            </w:tcBorders>
            <w:shd w:val="clear" w:color="auto" w:fill="auto"/>
            <w:vAlign w:val="center"/>
          </w:tcPr>
          <w:p w14:paraId="1F82CF7D">
            <w:pPr>
              <w:keepNext w:val="0"/>
              <w:keepLines w:val="0"/>
              <w:widowControl/>
              <w:suppressLineNumbers w:val="0"/>
              <w:jc w:val="left"/>
            </w:pPr>
            <w:r>
              <w:rPr>
                <w:rFonts w:ascii="宋体" w:hAnsi="宋体" w:eastAsia="宋体" w:cs="宋体"/>
                <w:kern w:val="0"/>
                <w:sz w:val="24"/>
                <w:szCs w:val="24"/>
                <w:lang w:val="en-US" w:eastAsia="zh-CN" w:bidi="ar"/>
              </w:rPr>
              <w:t>B4-4、综合实力</w:t>
            </w:r>
          </w:p>
        </w:tc>
        <w:tc>
          <w:tcPr>
            <w:tcW w:w="1065" w:type="dxa"/>
            <w:tcBorders>
              <w:tl2br w:val="nil"/>
              <w:tr2bl w:val="nil"/>
            </w:tcBorders>
            <w:shd w:val="clear" w:color="auto" w:fill="auto"/>
            <w:vAlign w:val="center"/>
          </w:tcPr>
          <w:p w14:paraId="6F91C46D">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089" w:type="dxa"/>
            <w:tcBorders>
              <w:tl2br w:val="nil"/>
              <w:tr2bl w:val="nil"/>
            </w:tcBorders>
            <w:shd w:val="clear" w:color="auto" w:fill="auto"/>
            <w:vAlign w:val="center"/>
          </w:tcPr>
          <w:p w14:paraId="5B5D3BE4">
            <w:pPr>
              <w:keepNext w:val="0"/>
              <w:keepLines w:val="0"/>
              <w:widowControl/>
              <w:suppressLineNumbers w:val="0"/>
              <w:jc w:val="left"/>
            </w:pPr>
            <w:r>
              <w:rPr>
                <w:rFonts w:ascii="宋体" w:hAnsi="宋体" w:eastAsia="宋体" w:cs="宋体"/>
                <w:kern w:val="0"/>
                <w:sz w:val="24"/>
                <w:szCs w:val="24"/>
                <w:lang w:val="en-US" w:eastAsia="zh-CN" w:bidi="ar"/>
              </w:rPr>
              <w:t>投标人被收录为民政部救灾司、国家减灾中心编制的《自然灾害应急救助物资生产商参考名录（2019版）》的得2分。注：须提供相关证明材料，否则不得分。（满分2分）</w:t>
            </w:r>
          </w:p>
        </w:tc>
      </w:tr>
    </w:tbl>
    <w:p w14:paraId="4CD74917">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280" w:lineRule="exact"/>
        <w:ind w:left="0" w:right="0" w:firstLine="482"/>
        <w:textAlignment w:val="auto"/>
        <w:rPr>
          <w:rFonts w:hint="eastAsia" w:ascii="宋体" w:hAnsi="宋体" w:eastAsia="宋体" w:cs="宋体"/>
          <w:sz w:val="24"/>
          <w:szCs w:val="24"/>
        </w:rPr>
      </w:pPr>
    </w:p>
    <w:p w14:paraId="65B4FA7E">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280" w:lineRule="exact"/>
        <w:ind w:left="0" w:right="0" w:firstLine="482"/>
        <w:textAlignment w:val="auto"/>
        <w:rPr>
          <w:rFonts w:hint="eastAsia" w:ascii="宋体" w:hAnsi="宋体" w:eastAsia="宋体" w:cs="宋体"/>
          <w:sz w:val="24"/>
          <w:szCs w:val="24"/>
        </w:rPr>
      </w:pPr>
    </w:p>
    <w:p w14:paraId="326FD535">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280" w:lineRule="exact"/>
        <w:ind w:left="0" w:right="0" w:firstLine="482"/>
        <w:textAlignment w:val="auto"/>
        <w:rPr>
          <w:rFonts w:hint="eastAsia" w:ascii="宋体" w:hAnsi="宋体" w:eastAsia="宋体" w:cs="宋体"/>
          <w:sz w:val="24"/>
          <w:szCs w:val="24"/>
        </w:rPr>
      </w:pPr>
    </w:p>
    <w:p w14:paraId="41D418F9">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280" w:lineRule="exact"/>
        <w:ind w:left="0" w:right="0" w:firstLine="482"/>
        <w:textAlignment w:val="auto"/>
        <w:rPr>
          <w:rFonts w:hint="eastAsia" w:ascii="宋体" w:hAnsi="宋体" w:eastAsia="宋体" w:cs="宋体"/>
          <w:sz w:val="24"/>
          <w:szCs w:val="24"/>
        </w:rPr>
      </w:pPr>
    </w:p>
    <w:p w14:paraId="35FBECAE">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280" w:lineRule="exact"/>
        <w:ind w:left="0" w:right="0" w:firstLine="482"/>
        <w:textAlignment w:val="auto"/>
      </w:pPr>
      <w:r>
        <w:rPr>
          <w:rFonts w:hint="eastAsia" w:ascii="宋体" w:hAnsi="宋体" w:eastAsia="宋体" w:cs="宋体"/>
          <w:sz w:val="24"/>
          <w:szCs w:val="24"/>
        </w:rPr>
        <w:t>④加分项（</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w:t>
      </w:r>
    </w:p>
    <w:p w14:paraId="1357BF88">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280" w:lineRule="exact"/>
        <w:ind w:left="0" w:right="0" w:firstLine="482"/>
        <w:textAlignment w:val="auto"/>
      </w:pPr>
      <w:r>
        <w:rPr>
          <w:rFonts w:hint="eastAsia" w:ascii="宋体" w:hAnsi="宋体" w:eastAsia="宋体" w:cs="宋体"/>
          <w:sz w:val="24"/>
          <w:szCs w:val="24"/>
        </w:rPr>
        <w:t>a.优先类节能产品、环境标志产品：</w:t>
      </w:r>
    </w:p>
    <w:p w14:paraId="60903578">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280" w:lineRule="exact"/>
        <w:ind w:left="0" w:right="0" w:firstLine="482"/>
        <w:textAlignment w:val="auto"/>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20%</w:t>
      </w:r>
      <w:r>
        <w:rPr>
          <w:rFonts w:hint="eastAsia" w:ascii="宋体" w:hAnsi="宋体" w:eastAsia="宋体" w:cs="宋体"/>
          <w:sz w:val="24"/>
          <w:szCs w:val="24"/>
        </w:rPr>
        <w:t>（含</w:t>
      </w:r>
      <w:r>
        <w:rPr>
          <w:rFonts w:hint="default" w:ascii="Calibri" w:hAnsi="Calibri" w:eastAsia="宋体" w:cs="Calibri"/>
          <w:sz w:val="24"/>
          <w:szCs w:val="24"/>
        </w:rPr>
        <w:t>20%</w:t>
      </w:r>
      <w:r>
        <w:rPr>
          <w:rFonts w:hint="eastAsia" w:ascii="宋体" w:hAnsi="宋体" w:eastAsia="宋体" w:cs="宋体"/>
          <w:sz w:val="24"/>
          <w:szCs w:val="24"/>
        </w:rPr>
        <w:t>）以下，将分别给予节能、环境标志产品价格项（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4%</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20%-50%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6%</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50%</w:t>
      </w:r>
      <w:r>
        <w:rPr>
          <w:rFonts w:hint="eastAsia" w:ascii="宋体" w:hAnsi="宋体" w:eastAsia="宋体" w:cs="宋体"/>
          <w:sz w:val="24"/>
          <w:szCs w:val="24"/>
        </w:rPr>
        <w:t>以上的，将分别给予节能、环境标志产品价格项（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8%</w:t>
      </w:r>
      <w:r>
        <w:rPr>
          <w:rFonts w:hint="eastAsia" w:ascii="宋体" w:hAnsi="宋体" w:eastAsia="宋体" w:cs="宋体"/>
          <w:sz w:val="24"/>
          <w:szCs w:val="24"/>
        </w:rPr>
        <w:t>的加分。</w:t>
      </w:r>
    </w:p>
    <w:p w14:paraId="3B0452D6">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280" w:lineRule="exact"/>
        <w:ind w:left="0" w:right="0" w:firstLine="482"/>
        <w:textAlignment w:val="auto"/>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a2若节能、环境标志产品仅是构成投标产品的部件、组件或零件，则该投标产品不享受鼓励优惠政策。同一品目中各认证证书不重复计算加分。强制类节能产品不享受加分。</w:t>
      </w:r>
    </w:p>
    <w:tbl>
      <w:tblPr>
        <w:tblStyle w:val="6"/>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31"/>
        <w:gridCol w:w="1510"/>
        <w:gridCol w:w="5919"/>
      </w:tblGrid>
      <w:tr w14:paraId="44AF2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1845" w:hRule="atLeast"/>
          <w:tblHeader/>
        </w:trPr>
        <w:tc>
          <w:tcPr>
            <w:tcW w:w="1031" w:type="dxa"/>
            <w:tcBorders>
              <w:tl2br w:val="nil"/>
              <w:tr2bl w:val="nil"/>
            </w:tcBorders>
            <w:shd w:val="clear" w:color="auto" w:fill="auto"/>
            <w:vAlign w:val="center"/>
          </w:tcPr>
          <w:p w14:paraId="1890976E">
            <w:pPr>
              <w:keepNext w:val="0"/>
              <w:keepLines w:val="0"/>
              <w:widowControl/>
              <w:suppressLineNumbers w:val="0"/>
              <w:jc w:val="center"/>
              <w:rPr>
                <w:sz w:val="24"/>
                <w:szCs w:val="24"/>
              </w:rPr>
            </w:pPr>
            <w:r>
              <w:rPr>
                <w:rFonts w:ascii="宋体" w:hAnsi="宋体" w:eastAsia="宋体" w:cs="宋体"/>
                <w:kern w:val="0"/>
                <w:sz w:val="24"/>
                <w:szCs w:val="24"/>
                <w:lang w:val="en-US" w:eastAsia="zh-CN" w:bidi="ar"/>
              </w:rPr>
              <w:t>评标项目</w:t>
            </w:r>
          </w:p>
        </w:tc>
        <w:tc>
          <w:tcPr>
            <w:tcW w:w="1510" w:type="dxa"/>
            <w:tcBorders>
              <w:tl2br w:val="nil"/>
              <w:tr2bl w:val="nil"/>
            </w:tcBorders>
            <w:shd w:val="clear" w:color="auto" w:fill="auto"/>
            <w:vAlign w:val="center"/>
          </w:tcPr>
          <w:p w14:paraId="321983B4">
            <w:pPr>
              <w:keepNext w:val="0"/>
              <w:keepLines w:val="0"/>
              <w:widowControl/>
              <w:suppressLineNumbers w:val="0"/>
              <w:jc w:val="center"/>
              <w:rPr>
                <w:sz w:val="24"/>
                <w:szCs w:val="24"/>
              </w:rPr>
            </w:pPr>
            <w:r>
              <w:rPr>
                <w:rFonts w:ascii="宋体" w:hAnsi="宋体" w:eastAsia="宋体" w:cs="宋体"/>
                <w:kern w:val="0"/>
                <w:sz w:val="24"/>
                <w:szCs w:val="24"/>
                <w:lang w:val="en-US" w:eastAsia="zh-CN" w:bidi="ar"/>
              </w:rPr>
              <w:t>评标分值</w:t>
            </w:r>
          </w:p>
        </w:tc>
        <w:tc>
          <w:tcPr>
            <w:tcW w:w="5919" w:type="dxa"/>
            <w:tcBorders>
              <w:tl2br w:val="nil"/>
              <w:tr2bl w:val="nil"/>
            </w:tcBorders>
            <w:shd w:val="clear" w:color="auto" w:fill="auto"/>
            <w:vAlign w:val="center"/>
          </w:tcPr>
          <w:p w14:paraId="5C8161CE">
            <w:pPr>
              <w:keepNext w:val="0"/>
              <w:keepLines w:val="0"/>
              <w:widowControl/>
              <w:suppressLineNumbers w:val="0"/>
              <w:jc w:val="center"/>
              <w:rPr>
                <w:sz w:val="24"/>
                <w:szCs w:val="24"/>
              </w:rPr>
            </w:pPr>
            <w:r>
              <w:rPr>
                <w:rFonts w:ascii="宋体" w:hAnsi="宋体" w:eastAsia="宋体" w:cs="宋体"/>
                <w:kern w:val="0"/>
                <w:sz w:val="24"/>
                <w:szCs w:val="24"/>
                <w:lang w:val="en-US" w:eastAsia="zh-CN" w:bidi="ar"/>
              </w:rPr>
              <w:t>评标方法描述</w:t>
            </w:r>
          </w:p>
        </w:tc>
      </w:tr>
      <w:tr w14:paraId="2C54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1031" w:type="dxa"/>
            <w:tcBorders>
              <w:tl2br w:val="nil"/>
              <w:tr2bl w:val="nil"/>
            </w:tcBorders>
            <w:shd w:val="clear" w:color="auto" w:fill="auto"/>
            <w:vAlign w:val="center"/>
          </w:tcPr>
          <w:p w14:paraId="12D53324">
            <w:pPr>
              <w:keepNext w:val="0"/>
              <w:keepLines w:val="0"/>
              <w:widowControl/>
              <w:suppressLineNumbers w:val="0"/>
              <w:jc w:val="left"/>
              <w:rPr>
                <w:sz w:val="24"/>
                <w:szCs w:val="24"/>
              </w:rPr>
            </w:pPr>
            <w:r>
              <w:rPr>
                <w:rFonts w:ascii="宋体" w:hAnsi="宋体" w:eastAsia="宋体" w:cs="宋体"/>
                <w:kern w:val="0"/>
                <w:sz w:val="24"/>
                <w:szCs w:val="24"/>
                <w:lang w:val="en-US" w:eastAsia="zh-CN" w:bidi="ar"/>
              </w:rPr>
              <w:t>节能、减排、环境标志产品部分</w:t>
            </w:r>
          </w:p>
        </w:tc>
        <w:tc>
          <w:tcPr>
            <w:tcW w:w="1510" w:type="dxa"/>
            <w:tcBorders>
              <w:tl2br w:val="nil"/>
              <w:tr2bl w:val="nil"/>
            </w:tcBorders>
            <w:shd w:val="clear" w:color="auto" w:fill="auto"/>
            <w:vAlign w:val="center"/>
          </w:tcPr>
          <w:p w14:paraId="7272ADEC">
            <w:pPr>
              <w:keepNext w:val="0"/>
              <w:keepLines w:val="0"/>
              <w:widowControl/>
              <w:suppressLineNumbers w:val="0"/>
              <w:jc w:val="center"/>
              <w:rPr>
                <w:sz w:val="24"/>
                <w:szCs w:val="24"/>
              </w:rPr>
            </w:pPr>
            <w:r>
              <w:rPr>
                <w:rFonts w:ascii="宋体" w:hAnsi="宋体" w:eastAsia="宋体" w:cs="宋体"/>
                <w:kern w:val="0"/>
                <w:sz w:val="24"/>
                <w:szCs w:val="24"/>
                <w:lang w:val="en-US" w:eastAsia="zh-CN" w:bidi="ar"/>
              </w:rPr>
              <w:t>6.8</w:t>
            </w:r>
          </w:p>
        </w:tc>
        <w:tc>
          <w:tcPr>
            <w:tcW w:w="5919" w:type="dxa"/>
            <w:tcBorders>
              <w:tl2br w:val="nil"/>
              <w:tr2bl w:val="nil"/>
            </w:tcBorders>
            <w:shd w:val="clear" w:color="auto" w:fill="auto"/>
            <w:vAlign w:val="center"/>
          </w:tcPr>
          <w:p w14:paraId="374A3E55">
            <w:pPr>
              <w:keepNext w:val="0"/>
              <w:keepLines w:val="0"/>
              <w:widowControl/>
              <w:suppressLineNumbers w:val="0"/>
              <w:jc w:val="left"/>
              <w:rPr>
                <w:sz w:val="24"/>
                <w:szCs w:val="24"/>
              </w:rPr>
            </w:pPr>
            <w:r>
              <w:rPr>
                <w:rFonts w:ascii="宋体" w:hAnsi="宋体" w:eastAsia="宋体" w:cs="宋体"/>
                <w:kern w:val="0"/>
                <w:sz w:val="24"/>
                <w:szCs w:val="24"/>
                <w:lang w:val="en-US" w:eastAsia="zh-CN" w:bidi="ar"/>
              </w:rPr>
              <w:t>（1）根据《国务院办公厅关于建立政府强制采购节能产品制度的通知》(国办发[2007]51号)和财政部、发展改革委发布的《节能产品政府采购实施意见》(财库[2004]185号)以及《财政部、国家发展改革委关于调整节能产品政府采购清单的通知》财库〔2017〕129号的规定，节能清单中的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为政府强制采购的节能产品(具体品目以“★”标注)，本次采购货物中属政府强制采购节能产品的，投标人所投产品必须是财政部、国家发展改革委公示的《节能产品政府采购清单》内产品，并提供产品的证明资料复印件加盖投标人公章，否则投标无效。 (2)节能(非强制类产品)、减排、环境标志产品评审优惠内容及幅度如下： ①、若同一合同包内的节能(非强制类产品)、减排、环境标志产品报价总金额低于本合同包报价总金额20%(含20%)以下的，将分别给予节能、减排、环境标志产品价格评标项和技术评标项标准总分值4％的加分； ②、若同一合同包内节能(非强制类产品)、减排、环境标志产品报价总金额占本合同包报价总金额20%-50%(含50%)的，将分别给予节能、减排、环境标志产品在价格评标项和技术评标项标准总分值6％的加分； ③、若同一合同包内节能(非强制类产品)、减排、环境标志产品报价总金额占本合同包报价总金额50%以上的，将分别给予节能、减排、环境标志产品在价格评标项和技术评标项标准总分值8％的加分。 注：本次政府采购活动已经开展但尚未进入评审环节的，执行本期和下期节能清单。对于同时列入财政部、环境保护部公示的《环境标志产品政府采购清单》和财政部、国家发展改革委公示的《节能产品政府采购清单》的产品，应当优先于只获得其中一项认证的产品。 投标人在投标时必须对属于节能、减排、环境标志产品单独在节能（非强制类）、环境标志产品统计表中填写，并提供产品的证明资料复印件附在报价部分(电子证明资料应上传在对应评分模块)且加盖投标人公章。未单独分项报价或未按规定提供产品的证明资料的不给予加分。投标产品属于节能、减排、环境标志清单内产品的，可享受相关的鼓励优惠政策；若节能、减排、环境标志清单内的产品仅是构成投标产品的部件、组件或零件的，则该投标产品不享受鼓励优惠政策。评标委员会审查此项响应性只根据投标文件本身的内容，而不寻求其他的外部证据。</w:t>
            </w:r>
          </w:p>
        </w:tc>
      </w:tr>
    </w:tbl>
    <w:p w14:paraId="047EC197">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（4）中标候选人排列规则顺序如下：</w:t>
      </w:r>
    </w:p>
    <w:p w14:paraId="247FE037">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a.按照评标总得分（</w:t>
      </w:r>
      <w:r>
        <w:rPr>
          <w:rFonts w:hint="default" w:ascii="Calibri" w:hAnsi="Calibri" w:eastAsia="宋体" w:cs="Calibri"/>
          <w:sz w:val="24"/>
          <w:szCs w:val="24"/>
        </w:rPr>
        <w:t>FA</w:t>
      </w:r>
      <w:r>
        <w:rPr>
          <w:rFonts w:hint="eastAsia" w:ascii="宋体" w:hAnsi="宋体" w:eastAsia="宋体" w:cs="宋体"/>
          <w:sz w:val="24"/>
          <w:szCs w:val="24"/>
        </w:rPr>
        <w:t>）由高到低顺序排列。</w:t>
      </w:r>
    </w:p>
    <w:p w14:paraId="29908CED">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b.评标总得分（</w:t>
      </w:r>
      <w:r>
        <w:rPr>
          <w:rFonts w:hint="default" w:ascii="Calibri" w:hAnsi="Calibri" w:eastAsia="宋体" w:cs="Calibri"/>
          <w:sz w:val="24"/>
          <w:szCs w:val="24"/>
        </w:rPr>
        <w:t>FA</w:t>
      </w:r>
      <w:r>
        <w:rPr>
          <w:rFonts w:hint="eastAsia" w:ascii="宋体" w:hAnsi="宋体" w:eastAsia="宋体" w:cs="宋体"/>
          <w:sz w:val="24"/>
          <w:szCs w:val="24"/>
        </w:rPr>
        <w:t>）相同的，按照评标价（即价格扣除后的投标报价）由低到高顺序排列。</w:t>
      </w:r>
    </w:p>
    <w:p w14:paraId="1DBF6038">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c.评标总得分（</w:t>
      </w:r>
      <w:r>
        <w:rPr>
          <w:rFonts w:hint="default" w:ascii="Calibri" w:hAnsi="Calibri" w:eastAsia="宋体" w:cs="Calibri"/>
          <w:sz w:val="24"/>
          <w:szCs w:val="24"/>
        </w:rPr>
        <w:t>FA</w:t>
      </w:r>
      <w:r>
        <w:rPr>
          <w:rFonts w:hint="eastAsia" w:ascii="宋体" w:hAnsi="宋体" w:eastAsia="宋体" w:cs="宋体"/>
          <w:sz w:val="24"/>
          <w:szCs w:val="24"/>
        </w:rPr>
        <w:t>）且评标价（即价格扣除后的投标报价）相同的并列。</w:t>
      </w:r>
    </w:p>
    <w:p w14:paraId="6FF7DDBD">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6D932B48">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0E6857B4">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67411E7C">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534DA962">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52480724">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1061C9FC">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1BA7AE69">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1E6E6A61">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0253EB53">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0A110865">
      <w:pPr>
        <w:pStyle w:val="5"/>
        <w:keepNext w:val="0"/>
        <w:keepLines w:val="0"/>
        <w:widowControl/>
        <w:suppressLineNumbers w:val="0"/>
        <w:shd w:val="clear" w:fill="FFFFFF"/>
        <w:spacing w:before="0" w:beforeAutospacing="0" w:after="150" w:afterAutospacing="0"/>
        <w:ind w:left="0" w:right="0"/>
        <w:rPr>
          <w:rFonts w:hint="eastAsia" w:ascii="微软雅黑" w:hAnsi="微软雅黑" w:eastAsia="微软雅黑" w:cs="微软雅黑"/>
          <w:color w:val="393939"/>
          <w:sz w:val="19"/>
          <w:szCs w:val="19"/>
        </w:rPr>
      </w:pPr>
      <w:r>
        <w:rPr>
          <w:rStyle w:val="8"/>
          <w:rFonts w:hint="eastAsia" w:ascii="宋体" w:hAnsi="宋体" w:eastAsia="宋体" w:cs="宋体"/>
          <w:b/>
          <w:color w:val="393939"/>
          <w:sz w:val="24"/>
          <w:szCs w:val="24"/>
          <w:shd w:val="clear" w:fill="FFFFFF"/>
        </w:rPr>
        <w:t>合同包2采用综合评分法</w:t>
      </w:r>
      <w:r>
        <w:rPr>
          <w:rFonts w:hint="eastAsia" w:ascii="宋体" w:hAnsi="宋体" w:eastAsia="宋体" w:cs="宋体"/>
          <w:color w:val="393939"/>
          <w:sz w:val="24"/>
          <w:szCs w:val="24"/>
          <w:shd w:val="clear" w:fill="FFFFFF"/>
        </w:rPr>
        <w:t>：</w:t>
      </w:r>
    </w:p>
    <w:p w14:paraId="05942106">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（1）投标文件满足招标文件全部实质性要求，且按照评审因素的量化指标评审得分（即评标总得分）最高的投标人为中标候选人。</w:t>
      </w:r>
    </w:p>
    <w:p w14:paraId="51972F76">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（2）每个投标人的评标总得分</w:t>
      </w:r>
      <w:r>
        <w:rPr>
          <w:rFonts w:hint="default" w:ascii="Calibri" w:hAnsi="Calibri" w:eastAsia="宋体" w:cs="Calibri"/>
          <w:sz w:val="24"/>
          <w:szCs w:val="24"/>
        </w:rPr>
        <w:t>FA</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（若有），其中：</w:t>
      </w:r>
      <w:r>
        <w:rPr>
          <w:rFonts w:hint="default" w:ascii="Calibri" w:hAnsi="Calibri" w:eastAsia="宋体" w:cs="Calibri"/>
          <w:sz w:val="24"/>
          <w:szCs w:val="24"/>
        </w:rPr>
        <w:t>F1</w:t>
      </w:r>
      <w:r>
        <w:rPr>
          <w:rFonts w:hint="eastAsia" w:ascii="宋体" w:hAnsi="宋体" w:eastAsia="宋体" w:cs="宋体"/>
          <w:sz w:val="24"/>
          <w:szCs w:val="24"/>
        </w:rPr>
        <w:t>指价格项评审因素得分、</w:t>
      </w:r>
      <w:r>
        <w:rPr>
          <w:rFonts w:hint="default" w:ascii="Calibri" w:hAnsi="Calibri" w:eastAsia="宋体" w:cs="Calibri"/>
          <w:sz w:val="24"/>
          <w:szCs w:val="24"/>
        </w:rPr>
        <w:t>F2</w:t>
      </w:r>
      <w:r>
        <w:rPr>
          <w:rFonts w:hint="eastAsia" w:ascii="宋体" w:hAnsi="宋体" w:eastAsia="宋体" w:cs="宋体"/>
          <w:sz w:val="24"/>
          <w:szCs w:val="24"/>
        </w:rPr>
        <w:t>指技术项评审因素得分、</w:t>
      </w:r>
      <w:r>
        <w:rPr>
          <w:rFonts w:hint="default" w:ascii="Calibri" w:hAnsi="Calibri" w:eastAsia="宋体" w:cs="Calibri"/>
          <w:sz w:val="24"/>
          <w:szCs w:val="24"/>
        </w:rPr>
        <w:t>F3</w:t>
      </w:r>
      <w:r>
        <w:rPr>
          <w:rFonts w:hint="eastAsia" w:ascii="宋体" w:hAnsi="宋体" w:eastAsia="宋体" w:cs="宋体"/>
          <w:sz w:val="24"/>
          <w:szCs w:val="24"/>
        </w:rPr>
        <w:t>指商务项评审因素得分，</w:t>
      </w:r>
      <w:r>
        <w:rPr>
          <w:rFonts w:hint="default" w:ascii="Calibri" w:hAnsi="Calibri" w:eastAsia="宋体" w:cs="Calibri"/>
          <w:sz w:val="24"/>
          <w:szCs w:val="24"/>
        </w:rPr>
        <w:t>A1</w:t>
      </w:r>
      <w:r>
        <w:rPr>
          <w:rFonts w:hint="eastAsia" w:ascii="宋体" w:hAnsi="宋体" w:eastAsia="宋体" w:cs="宋体"/>
          <w:sz w:val="24"/>
          <w:szCs w:val="24"/>
        </w:rPr>
        <w:t>指价格项评审因素所占的权重、</w:t>
      </w:r>
      <w:r>
        <w:rPr>
          <w:rFonts w:hint="default" w:ascii="Calibri" w:hAnsi="Calibri" w:eastAsia="宋体" w:cs="Calibri"/>
          <w:sz w:val="24"/>
          <w:szCs w:val="24"/>
        </w:rPr>
        <w:t>A2</w:t>
      </w:r>
      <w:r>
        <w:rPr>
          <w:rFonts w:hint="eastAsia" w:ascii="宋体" w:hAnsi="宋体" w:eastAsia="宋体" w:cs="宋体"/>
          <w:sz w:val="24"/>
          <w:szCs w:val="24"/>
        </w:rPr>
        <w:t>指技术项评审因素所占的权重、</w:t>
      </w:r>
      <w:r>
        <w:rPr>
          <w:rFonts w:hint="default" w:ascii="Calibri" w:hAnsi="Calibri" w:eastAsia="宋体" w:cs="Calibri"/>
          <w:sz w:val="24"/>
          <w:szCs w:val="24"/>
        </w:rPr>
        <w:t>A3</w:t>
      </w:r>
      <w:r>
        <w:rPr>
          <w:rFonts w:hint="eastAsia" w:ascii="宋体" w:hAnsi="宋体" w:eastAsia="宋体" w:cs="宋体"/>
          <w:sz w:val="24"/>
          <w:szCs w:val="24"/>
        </w:rPr>
        <w:t>指商务项评审因素所占的权重，</w:t>
      </w:r>
      <w:r>
        <w:rPr>
          <w:rFonts w:hint="default" w:ascii="Calibri" w:hAnsi="Calibri" w:eastAsia="宋体" w:cs="Calibri"/>
          <w:sz w:val="24"/>
          <w:szCs w:val="24"/>
        </w:rPr>
        <w:t>A1+A2+A3=1</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A3=100</w:t>
      </w:r>
      <w:r>
        <w:rPr>
          <w:rFonts w:hint="eastAsia" w:ascii="宋体" w:hAnsi="宋体" w:eastAsia="宋体" w:cs="宋体"/>
          <w:sz w:val="24"/>
          <w:szCs w:val="24"/>
        </w:rPr>
        <w:t>分（满分时），</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为加分项（即优先类节能产品、环境标志产品在采购活动中可享有的加分优惠）。</w:t>
      </w:r>
    </w:p>
    <w:p w14:paraId="48520E1D">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（3）各项评审因素的设置如下：</w:t>
      </w:r>
    </w:p>
    <w:p w14:paraId="155D9B21">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①价格项（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）满分为</w:t>
      </w:r>
      <w:r>
        <w:rPr>
          <w:rFonts w:hint="eastAsia" w:ascii="宋体" w:hAnsi="宋体" w:eastAsia="宋体" w:cs="宋体"/>
          <w:sz w:val="24"/>
          <w:szCs w:val="24"/>
          <w:u w:val="single"/>
        </w:rPr>
        <w:t>30</w:t>
      </w:r>
      <w:r>
        <w:rPr>
          <w:rFonts w:hint="eastAsia" w:ascii="宋体" w:hAnsi="宋体" w:eastAsia="宋体" w:cs="宋体"/>
          <w:sz w:val="24"/>
          <w:szCs w:val="24"/>
        </w:rPr>
        <w:t>分。</w:t>
      </w:r>
    </w:p>
    <w:p w14:paraId="47ACDC9F">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24"/>
          <w:szCs w:val="24"/>
        </w:rPr>
        <w:t>=</w:t>
      </w:r>
      <w:r>
        <w:rPr>
          <w:rFonts w:hint="eastAsia" w:ascii="宋体" w:hAnsi="宋体" w:eastAsia="宋体" w:cs="宋体"/>
          <w:sz w:val="24"/>
          <w:szCs w:val="24"/>
        </w:rPr>
        <w:t>（评标基准价／投标报价）×</w:t>
      </w:r>
      <w:r>
        <w:rPr>
          <w:rFonts w:hint="default" w:ascii="Calibri" w:hAnsi="Calibri" w:eastAsia="宋体" w:cs="Calibri"/>
          <w:sz w:val="24"/>
          <w:szCs w:val="24"/>
        </w:rPr>
        <w:t>100</w:t>
      </w:r>
      <w:r>
        <w:rPr>
          <w:rFonts w:hint="eastAsia" w:ascii="宋体" w:hAnsi="宋体" w:eastAsia="宋体" w:cs="宋体"/>
          <w:sz w:val="24"/>
          <w:szCs w:val="24"/>
        </w:rPr>
        <w:t>。因落实政府采购政策需进行价格扣除的，以扣除后的价格计算评标基准价和投标报价。</w:t>
      </w:r>
    </w:p>
    <w:p w14:paraId="10BAB822">
      <w:pPr>
        <w:pStyle w:val="5"/>
        <w:keepNext w:val="0"/>
        <w:keepLines w:val="0"/>
        <w:widowControl/>
        <w:suppressLineNumbers w:val="0"/>
        <w:spacing w:before="0" w:beforeAutospacing="0" w:after="150" w:afterAutospacing="0"/>
        <w:ind w:left="0" w:right="0" w:firstLine="480"/>
      </w:pPr>
      <w:r>
        <w:rPr>
          <w:rFonts w:hint="default" w:ascii="Calibri" w:hAnsi="Calibri" w:cs="Calibri"/>
          <w:sz w:val="24"/>
          <w:szCs w:val="24"/>
        </w:rPr>
        <w:t>b.</w:t>
      </w:r>
      <w:r>
        <w:rPr>
          <w:rFonts w:hint="eastAsia" w:ascii="宋体" w:hAnsi="宋体" w:eastAsia="宋体" w:cs="宋体"/>
          <w:sz w:val="24"/>
          <w:szCs w:val="24"/>
        </w:rPr>
        <w:t>价格扣除的规则如下：</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71"/>
        <w:gridCol w:w="7151"/>
      </w:tblGrid>
      <w:tr w14:paraId="6975656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14:paraId="3AAB70DA">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14:paraId="7E9E9B8C">
            <w:pPr>
              <w:keepNext w:val="0"/>
              <w:keepLines w:val="0"/>
              <w:widowControl/>
              <w:suppressLineNumbers w:val="0"/>
              <w:jc w:val="center"/>
            </w:pPr>
            <w:r>
              <w:rPr>
                <w:rFonts w:ascii="宋体" w:hAnsi="宋体" w:eastAsia="宋体" w:cs="宋体"/>
                <w:kern w:val="0"/>
                <w:sz w:val="24"/>
                <w:szCs w:val="24"/>
                <w:lang w:val="en-US" w:eastAsia="zh-CN" w:bidi="ar"/>
              </w:rPr>
              <w:t>评标方法</w:t>
            </w:r>
          </w:p>
        </w:tc>
      </w:tr>
      <w:tr w14:paraId="0AF9CD5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14:paraId="41F59BBF">
            <w:pPr>
              <w:keepNext w:val="0"/>
              <w:keepLines w:val="0"/>
              <w:widowControl/>
              <w:suppressLineNumbers w:val="0"/>
              <w:jc w:val="left"/>
            </w:pPr>
            <w:r>
              <w:rPr>
                <w:rFonts w:ascii="宋体" w:hAnsi="宋体" w:eastAsia="宋体" w:cs="宋体"/>
                <w:kern w:val="0"/>
                <w:sz w:val="24"/>
                <w:szCs w:val="24"/>
                <w:lang w:val="en-US" w:eastAsia="zh-CN" w:bidi="ar"/>
              </w:rPr>
              <w:t>小型、微型企业，监狱企业，残疾人</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14:paraId="70989ABA">
            <w:pPr>
              <w:keepNext w:val="0"/>
              <w:keepLines w:val="0"/>
              <w:widowControl/>
              <w:suppressLineNumbers w:val="0"/>
              <w:jc w:val="left"/>
            </w:pPr>
            <w:r>
              <w:rPr>
                <w:rStyle w:val="8"/>
                <w:rFonts w:ascii="宋体" w:hAnsi="宋体" w:eastAsia="宋体" w:cs="宋体"/>
                <w:b/>
                <w:kern w:val="0"/>
                <w:sz w:val="24"/>
                <w:szCs w:val="24"/>
                <w:lang w:val="en-US" w:eastAsia="zh-CN" w:bidi="ar"/>
              </w:rPr>
              <w:t>小型、微型企业，监狱企业，残疾人 《政府采购促进中小企业发展暂行办法》价格的扣除：1、根据财政部、工信部印发的《政府采购促进中小企业发展暂行办法》财库〔2011〕181号，本办法所称中小企业(含中型、小型、微型企业，下同)应当同时符合以下条件：(1)符合中小企业划分标准；(2)提供本企业制造的货物、承担的工程或者服务，或者提供其他中小企业制造的货物。本项所称货物不包括使用大型企业注册商标的货物。本办法所称中小企业划分标准，是指国务院有关部门根据企业从业人员、营业收入、资产总额等指标制定的中小企业划型标准。小型、微型企业提供中型企业制造的货物的，视同为中型企业。2、本项目为非专门面向中小企业的项目，对小型和微型企业产品的价格给予6%的扣除，用扣除后的价格参与评审。残疾人集中就业企业、监狱企业视同小型和微型企业，享受评审中价格扣除的政府采购政策。3、参加政府采购活动的中小企业应当提供《政府采购促进中小企业发展暂行办法》规定的《中小企业声明函》(见第七章投标文件格式)。4、政府采购对中小企业的认定，由企业所在地的县级以上中小企业主管部门负责。须提供中小企业主管部门的证明函，否则不予价格扣除。5、监狱企业参加政府采购活动时，应当提供由省级以上监狱管理局、戒毒管理局(含新疆生产建设兵团)出具的属于监狱企业的证明文件，否则不予价格扣除。注：投标人在报价时必须对提供本企业制造的货物、承担的工程或者服务，或者提供其他中小企业制造的货物单独在小型、微型企业产品统计表中填写，并提供相关证明资料复印件附在报价部分(电子证明资料应上传在对应评分模块)且加盖投标人公章。未单独分项报价或未按规定提供相关证明资料的不给予价格扣除。评标委员会审查此项响应性只根据投标文件本身的内容，而不寻求其他的外部证据。残疾人福利性单位产品《三部门联合发布关于促进残疾人就业政府采购政策的通知》价格的扣除：1、根据财政部、民政部、中国残疾人联合会印发的《三部门联合发布关于促进残疾人就业政府采购政策的通知》财库〔2017〕141号，依照《政府采购法》、《残疾人保障法》等法律法规及相关规定，享受政府采购支持政策的残疾人福利性单位应当同时满足以下条件：(1)安置的残疾人占本单位在职职工人数的比例不低于25%(含25%)，并且安置的残疾人人数不少于10人(含10人)；(2)依法与安置的每位残疾人签订了一年以上(含一年)的劳动合同或服务协议；(3)为安置的每位残疾人按月足额缴纳了基本养老保险、基本医疗保险、失业保险、工伤保险和生育保险等社会保险费；(4)通过银行等金融机构向安置的每位残疾人，按月支付了不低于单位所在区县适用的经省级人民政府批准的月最低工资标准的工资；(5)提供本单位制造的货物、承担的工程或者服务(以下简称产品)，或者提供其他残疾人福利性单位制造的货物(不包括使用非残疾人福利性单位注册商标的货物)。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2、符合条件的残疾人福利性单位在参加政府采购活动时，应当提供《三部门联合发布关于促进残疾人就业政府采购政策的通知》规定的《残疾人福利性单位声明函》(见招标文件格式)，并对声明的真实性负责。3、在政府采购活动中，残疾人福利性单位视同小型、微型企业，享受“《政府采购促进中小企业发展暂行办法》价格的扣除”的政府采购政策。残疾人福利性单位属于小型、微型企业的，不重复享受政策。</w:t>
            </w:r>
          </w:p>
        </w:tc>
      </w:tr>
    </w:tbl>
    <w:p w14:paraId="6BD921D9">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244E9859">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6A62BA9B">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B35A3E6">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6F712817">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B12A204">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6F6963F">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55B4D29">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1FCAF6A">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EE7BD6D">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72C612A9">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DB8A4BF">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5B0BF443">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②技术项（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）满分为</w:t>
      </w:r>
      <w:r>
        <w:rPr>
          <w:rFonts w:hint="eastAsia" w:ascii="宋体" w:hAnsi="宋体" w:eastAsia="宋体" w:cs="宋体"/>
          <w:sz w:val="24"/>
          <w:szCs w:val="24"/>
          <w:u w:val="single"/>
        </w:rPr>
        <w:t>55</w:t>
      </w:r>
      <w:r>
        <w:rPr>
          <w:rFonts w:hint="eastAsia" w:ascii="宋体" w:hAnsi="宋体" w:eastAsia="宋体" w:cs="宋体"/>
          <w:sz w:val="24"/>
          <w:szCs w:val="24"/>
        </w:rPr>
        <w:t>分。</w:t>
      </w:r>
    </w:p>
    <w:tbl>
      <w:tblPr>
        <w:tblStyle w:val="6"/>
        <w:tblW w:w="830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218"/>
        <w:gridCol w:w="1053"/>
        <w:gridCol w:w="6029"/>
      </w:tblGrid>
      <w:tr w14:paraId="129CDC1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789" w:hRule="atLeast"/>
          <w:tblHeader/>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14:paraId="50FA5748">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053" w:type="dxa"/>
            <w:tcBorders>
              <w:top w:val="outset" w:color="auto" w:sz="6" w:space="0"/>
              <w:left w:val="outset" w:color="auto" w:sz="6" w:space="0"/>
              <w:bottom w:val="outset" w:color="auto" w:sz="6" w:space="0"/>
              <w:right w:val="outset" w:color="auto" w:sz="6" w:space="0"/>
            </w:tcBorders>
            <w:shd w:val="clear" w:color="auto" w:fill="auto"/>
            <w:vAlign w:val="center"/>
          </w:tcPr>
          <w:p w14:paraId="5149811F">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029" w:type="dxa"/>
            <w:tcBorders>
              <w:top w:val="outset" w:color="auto" w:sz="6" w:space="0"/>
              <w:left w:val="outset" w:color="auto" w:sz="6" w:space="0"/>
              <w:bottom w:val="outset" w:color="auto" w:sz="6" w:space="0"/>
              <w:right w:val="outset" w:color="auto" w:sz="6" w:space="0"/>
            </w:tcBorders>
            <w:shd w:val="clear" w:color="auto" w:fill="auto"/>
            <w:vAlign w:val="center"/>
          </w:tcPr>
          <w:p w14:paraId="0BCFA813">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0CEFCBF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230"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14:paraId="68955FC1">
            <w:pPr>
              <w:keepNext w:val="0"/>
              <w:keepLines w:val="0"/>
              <w:widowControl/>
              <w:suppressLineNumbers w:val="0"/>
              <w:jc w:val="left"/>
            </w:pPr>
            <w:r>
              <w:rPr>
                <w:rFonts w:ascii="宋体" w:hAnsi="宋体" w:eastAsia="宋体" w:cs="宋体"/>
                <w:kern w:val="0"/>
                <w:sz w:val="24"/>
                <w:szCs w:val="24"/>
                <w:lang w:val="en-US" w:eastAsia="zh-CN" w:bidi="ar"/>
              </w:rPr>
              <w:t>A1、所投货物技术的响应情况</w:t>
            </w:r>
          </w:p>
        </w:tc>
        <w:tc>
          <w:tcPr>
            <w:tcW w:w="1053" w:type="dxa"/>
            <w:tcBorders>
              <w:top w:val="outset" w:color="auto" w:sz="6" w:space="0"/>
              <w:left w:val="outset" w:color="auto" w:sz="6" w:space="0"/>
              <w:bottom w:val="outset" w:color="auto" w:sz="6" w:space="0"/>
              <w:right w:val="outset" w:color="auto" w:sz="6" w:space="0"/>
            </w:tcBorders>
            <w:shd w:val="clear" w:color="auto" w:fill="auto"/>
            <w:vAlign w:val="center"/>
          </w:tcPr>
          <w:p w14:paraId="0C8B48F4">
            <w:pPr>
              <w:keepNext w:val="0"/>
              <w:keepLines w:val="0"/>
              <w:widowControl/>
              <w:suppressLineNumbers w:val="0"/>
              <w:jc w:val="center"/>
            </w:pPr>
            <w:r>
              <w:rPr>
                <w:rFonts w:ascii="宋体" w:hAnsi="宋体" w:eastAsia="宋体" w:cs="宋体"/>
                <w:kern w:val="0"/>
                <w:sz w:val="24"/>
                <w:szCs w:val="24"/>
                <w:lang w:val="en-US" w:eastAsia="zh-CN" w:bidi="ar"/>
              </w:rPr>
              <w:t>38</w:t>
            </w:r>
          </w:p>
        </w:tc>
        <w:tc>
          <w:tcPr>
            <w:tcW w:w="6029" w:type="dxa"/>
            <w:tcBorders>
              <w:top w:val="outset" w:color="auto" w:sz="6" w:space="0"/>
              <w:left w:val="outset" w:color="auto" w:sz="6" w:space="0"/>
              <w:bottom w:val="outset" w:color="auto" w:sz="6" w:space="0"/>
              <w:right w:val="outset" w:color="auto" w:sz="6" w:space="0"/>
            </w:tcBorders>
            <w:shd w:val="clear" w:color="auto" w:fill="auto"/>
            <w:vAlign w:val="center"/>
          </w:tcPr>
          <w:p w14:paraId="58914AC7">
            <w:pPr>
              <w:keepNext w:val="0"/>
              <w:keepLines w:val="0"/>
              <w:widowControl/>
              <w:suppressLineNumbers w:val="0"/>
              <w:jc w:val="left"/>
            </w:pPr>
            <w:r>
              <w:rPr>
                <w:rFonts w:ascii="宋体" w:hAnsi="宋体" w:eastAsia="宋体" w:cs="宋体"/>
                <w:kern w:val="0"/>
                <w:sz w:val="24"/>
                <w:szCs w:val="24"/>
                <w:lang w:val="en-US" w:eastAsia="zh-CN" w:bidi="ar"/>
              </w:rPr>
              <w:t>根据投标人对招标文件第五章《招标内容及要求》二、技术和服务要求“合同包2：“毛毯”参数要求的逐项响应、承诺的情况由评委进行评议评分，投标人所投产品完全满足招标文件技术规范及要求的得38分，有负偏离情况的，每负偏离一项扣3分，扣完为止，正偏离不加分。（满分38分）</w:t>
            </w:r>
          </w:p>
        </w:tc>
      </w:tr>
      <w:tr w14:paraId="368A119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05"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14:paraId="713B8F69">
            <w:pPr>
              <w:keepNext w:val="0"/>
              <w:keepLines w:val="0"/>
              <w:widowControl/>
              <w:suppressLineNumbers w:val="0"/>
              <w:jc w:val="left"/>
            </w:pPr>
            <w:r>
              <w:rPr>
                <w:rFonts w:ascii="宋体" w:hAnsi="宋体" w:eastAsia="宋体" w:cs="宋体"/>
                <w:kern w:val="0"/>
                <w:sz w:val="24"/>
                <w:szCs w:val="24"/>
                <w:lang w:val="en-US" w:eastAsia="zh-CN" w:bidi="ar"/>
              </w:rPr>
              <w:t>A2、生产情况说明</w:t>
            </w:r>
          </w:p>
        </w:tc>
        <w:tc>
          <w:tcPr>
            <w:tcW w:w="1053" w:type="dxa"/>
            <w:tcBorders>
              <w:top w:val="outset" w:color="auto" w:sz="6" w:space="0"/>
              <w:left w:val="outset" w:color="auto" w:sz="6" w:space="0"/>
              <w:bottom w:val="outset" w:color="auto" w:sz="6" w:space="0"/>
              <w:right w:val="outset" w:color="auto" w:sz="6" w:space="0"/>
            </w:tcBorders>
            <w:shd w:val="clear" w:color="auto" w:fill="auto"/>
            <w:vAlign w:val="center"/>
          </w:tcPr>
          <w:p w14:paraId="7B9F821E">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29" w:type="dxa"/>
            <w:tcBorders>
              <w:top w:val="outset" w:color="auto" w:sz="6" w:space="0"/>
              <w:left w:val="outset" w:color="auto" w:sz="6" w:space="0"/>
              <w:bottom w:val="outset" w:color="auto" w:sz="6" w:space="0"/>
              <w:right w:val="outset" w:color="auto" w:sz="6" w:space="0"/>
            </w:tcBorders>
            <w:shd w:val="clear" w:color="auto" w:fill="auto"/>
            <w:vAlign w:val="center"/>
          </w:tcPr>
          <w:p w14:paraId="333D54D0">
            <w:pPr>
              <w:keepNext w:val="0"/>
              <w:keepLines w:val="0"/>
              <w:widowControl/>
              <w:suppressLineNumbers w:val="0"/>
              <w:jc w:val="left"/>
            </w:pPr>
            <w:r>
              <w:rPr>
                <w:rFonts w:ascii="宋体" w:hAnsi="宋体" w:eastAsia="宋体" w:cs="宋体"/>
                <w:kern w:val="0"/>
                <w:sz w:val="24"/>
                <w:szCs w:val="24"/>
                <w:lang w:val="en-US" w:eastAsia="zh-CN" w:bidi="ar"/>
              </w:rPr>
              <w:t>根据投标人提供的生产计划，生产方案、产品工艺流程说明、加工设备清单等进行横向评议，由评委在0～3分之间进行评分。</w:t>
            </w:r>
          </w:p>
        </w:tc>
      </w:tr>
      <w:tr w14:paraId="66EC556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789"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14:paraId="0085CE3B">
            <w:pPr>
              <w:keepNext w:val="0"/>
              <w:keepLines w:val="0"/>
              <w:widowControl/>
              <w:suppressLineNumbers w:val="0"/>
              <w:jc w:val="left"/>
            </w:pPr>
            <w:r>
              <w:rPr>
                <w:rFonts w:ascii="宋体" w:hAnsi="宋体" w:eastAsia="宋体" w:cs="宋体"/>
                <w:kern w:val="0"/>
                <w:sz w:val="24"/>
                <w:szCs w:val="24"/>
                <w:lang w:val="en-US" w:eastAsia="zh-CN" w:bidi="ar"/>
              </w:rPr>
              <w:t>A3、项目保障措施</w:t>
            </w:r>
          </w:p>
        </w:tc>
        <w:tc>
          <w:tcPr>
            <w:tcW w:w="1053" w:type="dxa"/>
            <w:tcBorders>
              <w:top w:val="outset" w:color="auto" w:sz="6" w:space="0"/>
              <w:left w:val="outset" w:color="auto" w:sz="6" w:space="0"/>
              <w:bottom w:val="outset" w:color="auto" w:sz="6" w:space="0"/>
              <w:right w:val="outset" w:color="auto" w:sz="6" w:space="0"/>
            </w:tcBorders>
            <w:shd w:val="clear" w:color="auto" w:fill="auto"/>
            <w:vAlign w:val="center"/>
          </w:tcPr>
          <w:p w14:paraId="54F44D9B">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29" w:type="dxa"/>
            <w:tcBorders>
              <w:top w:val="outset" w:color="auto" w:sz="6" w:space="0"/>
              <w:left w:val="outset" w:color="auto" w:sz="6" w:space="0"/>
              <w:bottom w:val="outset" w:color="auto" w:sz="6" w:space="0"/>
              <w:right w:val="outset" w:color="auto" w:sz="6" w:space="0"/>
            </w:tcBorders>
            <w:shd w:val="clear" w:color="auto" w:fill="auto"/>
            <w:vAlign w:val="center"/>
          </w:tcPr>
          <w:p w14:paraId="2EF25487">
            <w:pPr>
              <w:keepNext w:val="0"/>
              <w:keepLines w:val="0"/>
              <w:widowControl/>
              <w:suppressLineNumbers w:val="0"/>
              <w:jc w:val="left"/>
            </w:pPr>
            <w:r>
              <w:rPr>
                <w:rFonts w:ascii="宋体" w:hAnsi="宋体" w:eastAsia="宋体" w:cs="宋体"/>
                <w:kern w:val="0"/>
                <w:sz w:val="24"/>
                <w:szCs w:val="24"/>
                <w:lang w:val="en-US" w:eastAsia="zh-CN" w:bidi="ar"/>
              </w:rPr>
              <w:t>根据投标人提供的产品检测方案、质量保障，供货保障方案详细程度等进行横向评议，保障方案罗列齐全详细且保障方案可行性强的得3分；方案一般但较为合理的得2分，保障方案不合理或未提供保障方案的本项不得分。</w:t>
            </w:r>
          </w:p>
        </w:tc>
      </w:tr>
      <w:tr w14:paraId="0C47ACD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05"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14:paraId="5B9AE341">
            <w:pPr>
              <w:keepNext w:val="0"/>
              <w:keepLines w:val="0"/>
              <w:widowControl/>
              <w:suppressLineNumbers w:val="0"/>
              <w:jc w:val="left"/>
            </w:pPr>
            <w:r>
              <w:rPr>
                <w:rFonts w:ascii="宋体" w:hAnsi="宋体" w:eastAsia="宋体" w:cs="宋体"/>
                <w:kern w:val="0"/>
                <w:sz w:val="24"/>
                <w:szCs w:val="24"/>
                <w:lang w:val="en-US" w:eastAsia="zh-CN" w:bidi="ar"/>
              </w:rPr>
              <w:t>A4-1、样品情况</w:t>
            </w:r>
          </w:p>
        </w:tc>
        <w:tc>
          <w:tcPr>
            <w:tcW w:w="1053" w:type="dxa"/>
            <w:tcBorders>
              <w:top w:val="outset" w:color="auto" w:sz="6" w:space="0"/>
              <w:left w:val="outset" w:color="auto" w:sz="6" w:space="0"/>
              <w:bottom w:val="outset" w:color="auto" w:sz="6" w:space="0"/>
              <w:right w:val="outset" w:color="auto" w:sz="6" w:space="0"/>
            </w:tcBorders>
            <w:shd w:val="clear" w:color="auto" w:fill="auto"/>
            <w:vAlign w:val="center"/>
          </w:tcPr>
          <w:p w14:paraId="27D4575C">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29" w:type="dxa"/>
            <w:tcBorders>
              <w:top w:val="outset" w:color="auto" w:sz="6" w:space="0"/>
              <w:left w:val="outset" w:color="auto" w:sz="6" w:space="0"/>
              <w:bottom w:val="outset" w:color="auto" w:sz="6" w:space="0"/>
              <w:right w:val="outset" w:color="auto" w:sz="6" w:space="0"/>
            </w:tcBorders>
            <w:shd w:val="clear" w:color="auto" w:fill="auto"/>
            <w:vAlign w:val="center"/>
          </w:tcPr>
          <w:p w14:paraId="3360F8EA">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根据投标人所提供样品的整体质量情况由评委在0～3分之间进行评分。</w:t>
            </w:r>
          </w:p>
        </w:tc>
      </w:tr>
      <w:tr w14:paraId="5162A7E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05"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14:paraId="101AD0B5">
            <w:pPr>
              <w:keepNext w:val="0"/>
              <w:keepLines w:val="0"/>
              <w:widowControl/>
              <w:suppressLineNumbers w:val="0"/>
              <w:jc w:val="left"/>
            </w:pPr>
            <w:r>
              <w:rPr>
                <w:rFonts w:ascii="宋体" w:hAnsi="宋体" w:eastAsia="宋体" w:cs="宋体"/>
                <w:kern w:val="0"/>
                <w:sz w:val="24"/>
                <w:szCs w:val="24"/>
                <w:lang w:val="en-US" w:eastAsia="zh-CN" w:bidi="ar"/>
              </w:rPr>
              <w:t>A4-2、样品情况</w:t>
            </w:r>
          </w:p>
        </w:tc>
        <w:tc>
          <w:tcPr>
            <w:tcW w:w="1053" w:type="dxa"/>
            <w:tcBorders>
              <w:top w:val="outset" w:color="auto" w:sz="6" w:space="0"/>
              <w:left w:val="outset" w:color="auto" w:sz="6" w:space="0"/>
              <w:bottom w:val="outset" w:color="auto" w:sz="6" w:space="0"/>
              <w:right w:val="outset" w:color="auto" w:sz="6" w:space="0"/>
            </w:tcBorders>
            <w:shd w:val="clear" w:color="auto" w:fill="auto"/>
            <w:vAlign w:val="center"/>
          </w:tcPr>
          <w:p w14:paraId="65FCCEBA">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29" w:type="dxa"/>
            <w:tcBorders>
              <w:top w:val="outset" w:color="auto" w:sz="6" w:space="0"/>
              <w:left w:val="outset" w:color="auto" w:sz="6" w:space="0"/>
              <w:bottom w:val="outset" w:color="auto" w:sz="6" w:space="0"/>
              <w:right w:val="outset" w:color="auto" w:sz="6" w:space="0"/>
            </w:tcBorders>
            <w:shd w:val="clear" w:color="auto" w:fill="auto"/>
            <w:vAlign w:val="center"/>
          </w:tcPr>
          <w:p w14:paraId="74D9DCF8">
            <w:pPr>
              <w:keepNext w:val="0"/>
              <w:keepLines w:val="0"/>
              <w:widowControl/>
              <w:suppressLineNumbers w:val="0"/>
              <w:jc w:val="left"/>
            </w:pPr>
            <w:r>
              <w:rPr>
                <w:rFonts w:ascii="宋体" w:hAnsi="宋体" w:eastAsia="宋体" w:cs="宋体"/>
                <w:kern w:val="0"/>
                <w:sz w:val="24"/>
                <w:szCs w:val="24"/>
                <w:lang w:val="en-US" w:eastAsia="zh-CN" w:bidi="ar"/>
              </w:rPr>
              <w:t>根据投标人所提供样品的面料情况由评委在0～3分之间进行评分。</w:t>
            </w:r>
          </w:p>
        </w:tc>
      </w:tr>
      <w:tr w14:paraId="10F86C4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05"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14:paraId="3C4CF749">
            <w:pPr>
              <w:keepNext w:val="0"/>
              <w:keepLines w:val="0"/>
              <w:widowControl/>
              <w:suppressLineNumbers w:val="0"/>
              <w:jc w:val="left"/>
            </w:pPr>
            <w:r>
              <w:rPr>
                <w:rFonts w:ascii="宋体" w:hAnsi="宋体" w:eastAsia="宋体" w:cs="宋体"/>
                <w:kern w:val="0"/>
                <w:sz w:val="24"/>
                <w:szCs w:val="24"/>
                <w:lang w:val="en-US" w:eastAsia="zh-CN" w:bidi="ar"/>
              </w:rPr>
              <w:t>A4-3、样品情况</w:t>
            </w:r>
          </w:p>
        </w:tc>
        <w:tc>
          <w:tcPr>
            <w:tcW w:w="1053" w:type="dxa"/>
            <w:tcBorders>
              <w:top w:val="outset" w:color="auto" w:sz="6" w:space="0"/>
              <w:left w:val="outset" w:color="auto" w:sz="6" w:space="0"/>
              <w:bottom w:val="outset" w:color="auto" w:sz="6" w:space="0"/>
              <w:right w:val="outset" w:color="auto" w:sz="6" w:space="0"/>
            </w:tcBorders>
            <w:shd w:val="clear" w:color="auto" w:fill="auto"/>
            <w:vAlign w:val="center"/>
          </w:tcPr>
          <w:p w14:paraId="7DA31406">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29" w:type="dxa"/>
            <w:tcBorders>
              <w:top w:val="outset" w:color="auto" w:sz="6" w:space="0"/>
              <w:left w:val="outset" w:color="auto" w:sz="6" w:space="0"/>
              <w:bottom w:val="outset" w:color="auto" w:sz="6" w:space="0"/>
              <w:right w:val="outset" w:color="auto" w:sz="6" w:space="0"/>
            </w:tcBorders>
            <w:shd w:val="clear" w:color="auto" w:fill="auto"/>
            <w:vAlign w:val="center"/>
          </w:tcPr>
          <w:p w14:paraId="48F31C86">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根据投标人所提供样品的整体工艺水平由评委在0～3分之间进行评分。</w:t>
            </w:r>
          </w:p>
        </w:tc>
      </w:tr>
      <w:tr w14:paraId="7C6CE2E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26"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14:paraId="6028EF59">
            <w:pPr>
              <w:keepNext w:val="0"/>
              <w:keepLines w:val="0"/>
              <w:widowControl/>
              <w:suppressLineNumbers w:val="0"/>
              <w:jc w:val="left"/>
            </w:pPr>
            <w:r>
              <w:rPr>
                <w:rFonts w:ascii="宋体" w:hAnsi="宋体" w:eastAsia="宋体" w:cs="宋体"/>
                <w:kern w:val="0"/>
                <w:sz w:val="24"/>
                <w:szCs w:val="24"/>
                <w:lang w:val="en-US" w:eastAsia="zh-CN" w:bidi="ar"/>
              </w:rPr>
              <w:t>A4-4、样品情况</w:t>
            </w:r>
          </w:p>
        </w:tc>
        <w:tc>
          <w:tcPr>
            <w:tcW w:w="1053" w:type="dxa"/>
            <w:tcBorders>
              <w:top w:val="outset" w:color="auto" w:sz="6" w:space="0"/>
              <w:left w:val="outset" w:color="auto" w:sz="6" w:space="0"/>
              <w:bottom w:val="outset" w:color="auto" w:sz="6" w:space="0"/>
              <w:right w:val="outset" w:color="auto" w:sz="6" w:space="0"/>
            </w:tcBorders>
            <w:shd w:val="clear" w:color="auto" w:fill="auto"/>
            <w:vAlign w:val="center"/>
          </w:tcPr>
          <w:p w14:paraId="5D427C8D">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029" w:type="dxa"/>
            <w:tcBorders>
              <w:top w:val="outset" w:color="auto" w:sz="6" w:space="0"/>
              <w:left w:val="outset" w:color="auto" w:sz="6" w:space="0"/>
              <w:bottom w:val="outset" w:color="auto" w:sz="6" w:space="0"/>
              <w:right w:val="outset" w:color="auto" w:sz="6" w:space="0"/>
            </w:tcBorders>
            <w:shd w:val="clear" w:color="auto" w:fill="auto"/>
            <w:vAlign w:val="center"/>
          </w:tcPr>
          <w:p w14:paraId="6451D372">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根据投标人所提供样品的手感情况由评委在0～2分之间进行评分。</w:t>
            </w:r>
          </w:p>
        </w:tc>
      </w:tr>
    </w:tbl>
    <w:p w14:paraId="66A90102">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08F67BE">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F1B9043">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4F300B5">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2EA49E9">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F823606">
      <w:pPr>
        <w:pStyle w:val="5"/>
        <w:keepNext w:val="0"/>
        <w:keepLines w:val="0"/>
        <w:widowControl/>
        <w:suppressLineNumbers w:val="0"/>
        <w:spacing w:before="0" w:beforeAutospacing="0" w:after="150" w:afterAutospacing="0"/>
        <w:ind w:right="0"/>
        <w:rPr>
          <w:rFonts w:hint="eastAsia" w:ascii="宋体" w:hAnsi="宋体" w:eastAsia="宋体" w:cs="宋体"/>
          <w:sz w:val="24"/>
          <w:szCs w:val="24"/>
        </w:rPr>
      </w:pPr>
    </w:p>
    <w:p w14:paraId="10B96C5E">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③商务项（</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）满分为</w:t>
      </w:r>
      <w:r>
        <w:rPr>
          <w:rFonts w:hint="eastAsia" w:ascii="宋体" w:hAnsi="宋体" w:eastAsia="宋体" w:cs="宋体"/>
          <w:sz w:val="24"/>
          <w:szCs w:val="24"/>
          <w:u w:val="single"/>
        </w:rPr>
        <w:t>15</w:t>
      </w:r>
      <w:r>
        <w:rPr>
          <w:rFonts w:hint="eastAsia" w:ascii="宋体" w:hAnsi="宋体" w:eastAsia="宋体" w:cs="宋体"/>
          <w:sz w:val="24"/>
          <w:szCs w:val="24"/>
        </w:rPr>
        <w:t>分。</w:t>
      </w:r>
    </w:p>
    <w:tbl>
      <w:tblPr>
        <w:tblStyle w:val="6"/>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91"/>
        <w:gridCol w:w="980"/>
        <w:gridCol w:w="6329"/>
      </w:tblGrid>
      <w:tr w14:paraId="2E3A3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428" w:hRule="atLeast"/>
          <w:tblHeader/>
        </w:trPr>
        <w:tc>
          <w:tcPr>
            <w:tcW w:w="991" w:type="dxa"/>
            <w:tcBorders>
              <w:tl2br w:val="nil"/>
              <w:tr2bl w:val="nil"/>
            </w:tcBorders>
            <w:shd w:val="clear" w:color="auto" w:fill="auto"/>
            <w:vAlign w:val="center"/>
          </w:tcPr>
          <w:p w14:paraId="0D34D789">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980" w:type="dxa"/>
            <w:tcBorders>
              <w:tl2br w:val="nil"/>
              <w:tr2bl w:val="nil"/>
            </w:tcBorders>
            <w:shd w:val="clear" w:color="auto" w:fill="auto"/>
            <w:vAlign w:val="center"/>
          </w:tcPr>
          <w:p w14:paraId="77C5AAFB">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329" w:type="dxa"/>
            <w:tcBorders>
              <w:tl2br w:val="nil"/>
              <w:tr2bl w:val="nil"/>
            </w:tcBorders>
            <w:shd w:val="clear" w:color="auto" w:fill="auto"/>
            <w:vAlign w:val="center"/>
          </w:tcPr>
          <w:p w14:paraId="241EEF2D">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1745B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1" w:hRule="atLeast"/>
        </w:trPr>
        <w:tc>
          <w:tcPr>
            <w:tcW w:w="991" w:type="dxa"/>
            <w:tcBorders>
              <w:tl2br w:val="nil"/>
              <w:tr2bl w:val="nil"/>
            </w:tcBorders>
            <w:shd w:val="clear" w:color="auto" w:fill="auto"/>
            <w:vAlign w:val="center"/>
          </w:tcPr>
          <w:p w14:paraId="23F80103">
            <w:pPr>
              <w:keepNext w:val="0"/>
              <w:keepLines w:val="0"/>
              <w:widowControl/>
              <w:suppressLineNumbers w:val="0"/>
              <w:jc w:val="left"/>
            </w:pPr>
            <w:r>
              <w:rPr>
                <w:rFonts w:ascii="宋体" w:hAnsi="宋体" w:eastAsia="宋体" w:cs="宋体"/>
                <w:kern w:val="0"/>
                <w:sz w:val="24"/>
                <w:szCs w:val="24"/>
                <w:lang w:val="en-US" w:eastAsia="zh-CN" w:bidi="ar"/>
              </w:rPr>
              <w:t>B1、业绩</w:t>
            </w:r>
          </w:p>
        </w:tc>
        <w:tc>
          <w:tcPr>
            <w:tcW w:w="980" w:type="dxa"/>
            <w:tcBorders>
              <w:tl2br w:val="nil"/>
              <w:tr2bl w:val="nil"/>
            </w:tcBorders>
            <w:shd w:val="clear" w:color="auto" w:fill="auto"/>
            <w:vAlign w:val="center"/>
          </w:tcPr>
          <w:p w14:paraId="58F3CC73">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329" w:type="dxa"/>
            <w:tcBorders>
              <w:tl2br w:val="nil"/>
              <w:tr2bl w:val="nil"/>
            </w:tcBorders>
            <w:shd w:val="clear" w:color="auto" w:fill="auto"/>
            <w:vAlign w:val="center"/>
          </w:tcPr>
          <w:p w14:paraId="01AD5960">
            <w:pPr>
              <w:keepNext w:val="0"/>
              <w:keepLines w:val="0"/>
              <w:widowControl/>
              <w:suppressLineNumbers w:val="0"/>
              <w:jc w:val="left"/>
            </w:pPr>
            <w:r>
              <w:rPr>
                <w:rFonts w:ascii="宋体" w:hAnsi="宋体" w:eastAsia="宋体" w:cs="宋体"/>
                <w:kern w:val="0"/>
                <w:sz w:val="24"/>
                <w:szCs w:val="24"/>
                <w:lang w:val="en-US" w:eastAsia="zh-CN" w:bidi="ar"/>
              </w:rPr>
              <w:t>根据投标人所提供的从2016年1月1日起至本次投标截止日期(日期以验收报告时间为准)在国内所完成的同类项目业绩情况进行打分，每提供一份得1分，满分3分。【投标人须列表并提供该业绩项目的中标公告（提供相关网站中标公告的下载网页并注明网址）、中标通知书复印件、采购合同文本复印件，以及能够证明该业绩项目已经采购人验收合格的相关证明文件复印件，所有材料缺一不可，否则不得分。原件备查。】</w:t>
            </w:r>
          </w:p>
        </w:tc>
      </w:tr>
      <w:tr w14:paraId="14302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4" w:hRule="atLeast"/>
        </w:trPr>
        <w:tc>
          <w:tcPr>
            <w:tcW w:w="991" w:type="dxa"/>
            <w:tcBorders>
              <w:tl2br w:val="nil"/>
              <w:tr2bl w:val="nil"/>
            </w:tcBorders>
            <w:shd w:val="clear" w:color="auto" w:fill="auto"/>
            <w:vAlign w:val="center"/>
          </w:tcPr>
          <w:p w14:paraId="30FB8AA0">
            <w:pPr>
              <w:keepNext w:val="0"/>
              <w:keepLines w:val="0"/>
              <w:widowControl/>
              <w:suppressLineNumbers w:val="0"/>
              <w:jc w:val="left"/>
            </w:pPr>
            <w:r>
              <w:rPr>
                <w:rFonts w:ascii="宋体" w:hAnsi="宋体" w:eastAsia="宋体" w:cs="宋体"/>
                <w:kern w:val="0"/>
                <w:sz w:val="24"/>
                <w:szCs w:val="24"/>
                <w:lang w:val="en-US" w:eastAsia="zh-CN" w:bidi="ar"/>
              </w:rPr>
              <w:t>B2、经营年限</w:t>
            </w:r>
          </w:p>
        </w:tc>
        <w:tc>
          <w:tcPr>
            <w:tcW w:w="980" w:type="dxa"/>
            <w:tcBorders>
              <w:tl2br w:val="nil"/>
              <w:tr2bl w:val="nil"/>
            </w:tcBorders>
            <w:shd w:val="clear" w:color="auto" w:fill="auto"/>
            <w:vAlign w:val="center"/>
          </w:tcPr>
          <w:p w14:paraId="74356824">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329" w:type="dxa"/>
            <w:tcBorders>
              <w:tl2br w:val="nil"/>
              <w:tr2bl w:val="nil"/>
            </w:tcBorders>
            <w:shd w:val="clear" w:color="auto" w:fill="auto"/>
            <w:vAlign w:val="center"/>
          </w:tcPr>
          <w:p w14:paraId="32B3A8D9">
            <w:pPr>
              <w:keepNext w:val="0"/>
              <w:keepLines w:val="0"/>
              <w:widowControl/>
              <w:suppressLineNumbers w:val="0"/>
              <w:jc w:val="left"/>
            </w:pPr>
            <w:r>
              <w:rPr>
                <w:rFonts w:ascii="宋体" w:hAnsi="宋体" w:eastAsia="宋体" w:cs="宋体"/>
                <w:kern w:val="0"/>
                <w:sz w:val="24"/>
                <w:szCs w:val="24"/>
                <w:lang w:val="en-US" w:eastAsia="zh-CN" w:bidi="ar"/>
              </w:rPr>
              <w:t>根据投标人经营年限(以营业执照为准)进行评分：投标人经营年限大于10年的，每增加1年得1分。（满分2分）注：须提供营业执照复印件，否则不得分。</w:t>
            </w:r>
          </w:p>
        </w:tc>
      </w:tr>
      <w:tr w14:paraId="7A4BB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428" w:hRule="atLeast"/>
        </w:trPr>
        <w:tc>
          <w:tcPr>
            <w:tcW w:w="991" w:type="dxa"/>
            <w:tcBorders>
              <w:tl2br w:val="nil"/>
              <w:tr2bl w:val="nil"/>
            </w:tcBorders>
            <w:shd w:val="clear" w:color="auto" w:fill="auto"/>
            <w:vAlign w:val="center"/>
          </w:tcPr>
          <w:p w14:paraId="3940C15B">
            <w:pPr>
              <w:keepNext w:val="0"/>
              <w:keepLines w:val="0"/>
              <w:widowControl/>
              <w:suppressLineNumbers w:val="0"/>
              <w:jc w:val="left"/>
            </w:pPr>
            <w:r>
              <w:rPr>
                <w:rFonts w:ascii="宋体" w:hAnsi="宋体" w:eastAsia="宋体" w:cs="宋体"/>
                <w:kern w:val="0"/>
                <w:sz w:val="24"/>
                <w:szCs w:val="24"/>
                <w:lang w:val="en-US" w:eastAsia="zh-CN" w:bidi="ar"/>
              </w:rPr>
              <w:t>B3、售后服务</w:t>
            </w:r>
          </w:p>
        </w:tc>
        <w:tc>
          <w:tcPr>
            <w:tcW w:w="980" w:type="dxa"/>
            <w:tcBorders>
              <w:tl2br w:val="nil"/>
              <w:tr2bl w:val="nil"/>
            </w:tcBorders>
            <w:shd w:val="clear" w:color="auto" w:fill="auto"/>
            <w:vAlign w:val="center"/>
          </w:tcPr>
          <w:p w14:paraId="28C807BF">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329" w:type="dxa"/>
            <w:tcBorders>
              <w:tl2br w:val="nil"/>
              <w:tr2bl w:val="nil"/>
            </w:tcBorders>
            <w:shd w:val="clear" w:color="auto" w:fill="auto"/>
            <w:vAlign w:val="center"/>
          </w:tcPr>
          <w:p w14:paraId="2AE60947">
            <w:pPr>
              <w:keepNext w:val="0"/>
              <w:keepLines w:val="0"/>
              <w:widowControl/>
              <w:suppressLineNumbers w:val="0"/>
              <w:jc w:val="left"/>
            </w:pPr>
            <w:r>
              <w:rPr>
                <w:rFonts w:ascii="宋体" w:hAnsi="宋体" w:eastAsia="宋体" w:cs="宋体"/>
                <w:kern w:val="0"/>
                <w:sz w:val="24"/>
                <w:szCs w:val="24"/>
                <w:lang w:val="en-US" w:eastAsia="zh-CN" w:bidi="ar"/>
              </w:rPr>
              <w:t>根据投标人提供的售后服务承诺、反馈方式，维护响应时间、响应方式等情况进行评分，售后服务承诺优于招标文件，响应时间短，响应方式多样的得3分，售后服务承诺较好，售后服务响应内容一般的的1分；未提供任何售后服务承诺的得0分。</w:t>
            </w:r>
          </w:p>
        </w:tc>
      </w:tr>
      <w:tr w14:paraId="7F1B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137" w:hRule="atLeast"/>
        </w:trPr>
        <w:tc>
          <w:tcPr>
            <w:tcW w:w="991" w:type="dxa"/>
            <w:tcBorders>
              <w:tl2br w:val="nil"/>
              <w:tr2bl w:val="nil"/>
            </w:tcBorders>
            <w:shd w:val="clear" w:color="auto" w:fill="auto"/>
            <w:vAlign w:val="center"/>
          </w:tcPr>
          <w:p w14:paraId="7AC60C70">
            <w:pPr>
              <w:keepNext w:val="0"/>
              <w:keepLines w:val="0"/>
              <w:widowControl/>
              <w:suppressLineNumbers w:val="0"/>
              <w:jc w:val="left"/>
            </w:pPr>
            <w:r>
              <w:rPr>
                <w:rFonts w:ascii="宋体" w:hAnsi="宋体" w:eastAsia="宋体" w:cs="宋体"/>
                <w:kern w:val="0"/>
                <w:sz w:val="24"/>
                <w:szCs w:val="24"/>
                <w:lang w:val="en-US" w:eastAsia="zh-CN" w:bidi="ar"/>
              </w:rPr>
              <w:t>B4-1、综合实力</w:t>
            </w:r>
          </w:p>
        </w:tc>
        <w:tc>
          <w:tcPr>
            <w:tcW w:w="980" w:type="dxa"/>
            <w:tcBorders>
              <w:tl2br w:val="nil"/>
              <w:tr2bl w:val="nil"/>
            </w:tcBorders>
            <w:shd w:val="clear" w:color="auto" w:fill="auto"/>
            <w:vAlign w:val="center"/>
          </w:tcPr>
          <w:p w14:paraId="62D2DC03">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329" w:type="dxa"/>
            <w:tcBorders>
              <w:tl2br w:val="nil"/>
              <w:tr2bl w:val="nil"/>
            </w:tcBorders>
            <w:shd w:val="clear" w:color="auto" w:fill="auto"/>
            <w:vAlign w:val="center"/>
          </w:tcPr>
          <w:p w14:paraId="52732B07">
            <w:pPr>
              <w:keepNext w:val="0"/>
              <w:keepLines w:val="0"/>
              <w:widowControl/>
              <w:suppressLineNumbers w:val="0"/>
              <w:jc w:val="left"/>
            </w:pPr>
            <w:r>
              <w:rPr>
                <w:rFonts w:ascii="宋体" w:hAnsi="宋体" w:eastAsia="宋体" w:cs="宋体"/>
                <w:kern w:val="0"/>
                <w:sz w:val="24"/>
                <w:szCs w:val="24"/>
                <w:lang w:val="en-US" w:eastAsia="zh-CN" w:bidi="ar"/>
              </w:rPr>
              <w:t>根据投标人具有有效期内的ISO9001质量管理体系认证、ISO14001环境管理体系认证、职业健康安全管理体系认证的，每提供一项得1分，满分3分，未获认证或认证无效的不得分。投标人须同时提供有效证书复印件和全国认证认可信息公共服务平台（http://cx.cnca.cn）的查询结果“有效”的截图或网页打印件，并注明网址。</w:t>
            </w:r>
          </w:p>
        </w:tc>
      </w:tr>
      <w:tr w14:paraId="3D013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19" w:hRule="atLeast"/>
        </w:trPr>
        <w:tc>
          <w:tcPr>
            <w:tcW w:w="991" w:type="dxa"/>
            <w:tcBorders>
              <w:tl2br w:val="nil"/>
              <w:tr2bl w:val="nil"/>
            </w:tcBorders>
            <w:shd w:val="clear" w:color="auto" w:fill="auto"/>
            <w:vAlign w:val="center"/>
          </w:tcPr>
          <w:p w14:paraId="046CDCF9">
            <w:pPr>
              <w:keepNext w:val="0"/>
              <w:keepLines w:val="0"/>
              <w:widowControl/>
              <w:suppressLineNumbers w:val="0"/>
              <w:jc w:val="left"/>
            </w:pPr>
            <w:r>
              <w:rPr>
                <w:rFonts w:ascii="宋体" w:hAnsi="宋体" w:eastAsia="宋体" w:cs="宋体"/>
                <w:kern w:val="0"/>
                <w:sz w:val="24"/>
                <w:szCs w:val="24"/>
                <w:lang w:val="en-US" w:eastAsia="zh-CN" w:bidi="ar"/>
              </w:rPr>
              <w:t>B4-2、综合实力</w:t>
            </w:r>
          </w:p>
        </w:tc>
        <w:tc>
          <w:tcPr>
            <w:tcW w:w="980" w:type="dxa"/>
            <w:tcBorders>
              <w:tl2br w:val="nil"/>
              <w:tr2bl w:val="nil"/>
            </w:tcBorders>
            <w:shd w:val="clear" w:color="auto" w:fill="auto"/>
            <w:vAlign w:val="center"/>
          </w:tcPr>
          <w:p w14:paraId="503C35D0">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329" w:type="dxa"/>
            <w:tcBorders>
              <w:tl2br w:val="nil"/>
              <w:tr2bl w:val="nil"/>
            </w:tcBorders>
            <w:shd w:val="clear" w:color="auto" w:fill="auto"/>
            <w:vAlign w:val="center"/>
          </w:tcPr>
          <w:p w14:paraId="13BF195B">
            <w:pPr>
              <w:keepNext w:val="0"/>
              <w:keepLines w:val="0"/>
              <w:widowControl/>
              <w:suppressLineNumbers w:val="0"/>
              <w:jc w:val="left"/>
            </w:pPr>
            <w:r>
              <w:rPr>
                <w:rFonts w:ascii="宋体" w:hAnsi="宋体" w:eastAsia="宋体" w:cs="宋体"/>
                <w:kern w:val="0"/>
                <w:sz w:val="24"/>
                <w:szCs w:val="24"/>
                <w:lang w:val="en-US" w:eastAsia="zh-CN" w:bidi="ar"/>
              </w:rPr>
              <w:t>投标人获得第三方认证机构颁发的AAA级企业信用等级证书的得1分。（须提供复印件并加盖公章，原件备查）</w:t>
            </w:r>
          </w:p>
        </w:tc>
      </w:tr>
      <w:tr w14:paraId="3D820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74" w:hRule="atLeast"/>
        </w:trPr>
        <w:tc>
          <w:tcPr>
            <w:tcW w:w="991" w:type="dxa"/>
            <w:tcBorders>
              <w:tl2br w:val="nil"/>
              <w:tr2bl w:val="nil"/>
            </w:tcBorders>
            <w:shd w:val="clear" w:color="auto" w:fill="auto"/>
            <w:vAlign w:val="center"/>
          </w:tcPr>
          <w:p w14:paraId="61F7912E">
            <w:pPr>
              <w:keepNext w:val="0"/>
              <w:keepLines w:val="0"/>
              <w:widowControl/>
              <w:suppressLineNumbers w:val="0"/>
              <w:jc w:val="left"/>
            </w:pPr>
            <w:r>
              <w:rPr>
                <w:rFonts w:ascii="宋体" w:hAnsi="宋体" w:eastAsia="宋体" w:cs="宋体"/>
                <w:kern w:val="0"/>
                <w:sz w:val="24"/>
                <w:szCs w:val="24"/>
                <w:lang w:val="en-US" w:eastAsia="zh-CN" w:bidi="ar"/>
              </w:rPr>
              <w:t>B4-3、综合实力</w:t>
            </w:r>
          </w:p>
        </w:tc>
        <w:tc>
          <w:tcPr>
            <w:tcW w:w="980" w:type="dxa"/>
            <w:tcBorders>
              <w:tl2br w:val="nil"/>
              <w:tr2bl w:val="nil"/>
            </w:tcBorders>
            <w:shd w:val="clear" w:color="auto" w:fill="auto"/>
            <w:vAlign w:val="center"/>
          </w:tcPr>
          <w:p w14:paraId="125A5D4F">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329" w:type="dxa"/>
            <w:tcBorders>
              <w:tl2br w:val="nil"/>
              <w:tr2bl w:val="nil"/>
            </w:tcBorders>
            <w:shd w:val="clear" w:color="auto" w:fill="auto"/>
            <w:vAlign w:val="center"/>
          </w:tcPr>
          <w:p w14:paraId="329F8D2A">
            <w:pPr>
              <w:keepNext w:val="0"/>
              <w:keepLines w:val="0"/>
              <w:widowControl/>
              <w:suppressLineNumbers w:val="0"/>
              <w:jc w:val="left"/>
            </w:pPr>
            <w:r>
              <w:rPr>
                <w:rFonts w:ascii="宋体" w:hAnsi="宋体" w:eastAsia="宋体" w:cs="宋体"/>
                <w:kern w:val="0"/>
                <w:sz w:val="24"/>
                <w:szCs w:val="24"/>
                <w:lang w:val="en-US" w:eastAsia="zh-CN" w:bidi="ar"/>
              </w:rPr>
              <w:t>投标人获得省级或以上政府部门、工商部门或者第三方认证机构颁发的 “重合同守信用”证书的得1分，（须提供复印件并加盖公章，原件备查）。</w:t>
            </w:r>
          </w:p>
        </w:tc>
      </w:tr>
      <w:tr w14:paraId="173F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5" w:hRule="atLeast"/>
        </w:trPr>
        <w:tc>
          <w:tcPr>
            <w:tcW w:w="991" w:type="dxa"/>
            <w:tcBorders>
              <w:tl2br w:val="nil"/>
              <w:tr2bl w:val="nil"/>
            </w:tcBorders>
            <w:shd w:val="clear" w:color="auto" w:fill="auto"/>
            <w:vAlign w:val="center"/>
          </w:tcPr>
          <w:p w14:paraId="3120FE86">
            <w:pPr>
              <w:keepNext w:val="0"/>
              <w:keepLines w:val="0"/>
              <w:widowControl/>
              <w:suppressLineNumbers w:val="0"/>
              <w:jc w:val="left"/>
            </w:pPr>
            <w:r>
              <w:rPr>
                <w:rFonts w:ascii="宋体" w:hAnsi="宋体" w:eastAsia="宋体" w:cs="宋体"/>
                <w:kern w:val="0"/>
                <w:sz w:val="24"/>
                <w:szCs w:val="24"/>
                <w:lang w:val="en-US" w:eastAsia="zh-CN" w:bidi="ar"/>
              </w:rPr>
              <w:t>B4-4、综合实力</w:t>
            </w:r>
          </w:p>
        </w:tc>
        <w:tc>
          <w:tcPr>
            <w:tcW w:w="980" w:type="dxa"/>
            <w:tcBorders>
              <w:tl2br w:val="nil"/>
              <w:tr2bl w:val="nil"/>
            </w:tcBorders>
            <w:shd w:val="clear" w:color="auto" w:fill="auto"/>
            <w:vAlign w:val="center"/>
          </w:tcPr>
          <w:p w14:paraId="7099E1D2">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329" w:type="dxa"/>
            <w:tcBorders>
              <w:tl2br w:val="nil"/>
              <w:tr2bl w:val="nil"/>
            </w:tcBorders>
            <w:shd w:val="clear" w:color="auto" w:fill="auto"/>
            <w:vAlign w:val="center"/>
          </w:tcPr>
          <w:p w14:paraId="244C6ADD">
            <w:pPr>
              <w:keepNext w:val="0"/>
              <w:keepLines w:val="0"/>
              <w:widowControl/>
              <w:suppressLineNumbers w:val="0"/>
              <w:jc w:val="left"/>
            </w:pPr>
            <w:r>
              <w:rPr>
                <w:rFonts w:ascii="宋体" w:hAnsi="宋体" w:eastAsia="宋体" w:cs="宋体"/>
                <w:kern w:val="0"/>
                <w:sz w:val="24"/>
                <w:szCs w:val="24"/>
                <w:lang w:val="en-US" w:eastAsia="zh-CN" w:bidi="ar"/>
              </w:rPr>
              <w:t>投标人被收录为民政部救灾司、国家减灾中心编制的《自然灾害应急救助物资生产商参考名录（2019版）》的得2分。注：须提供相关证明材料，否则不得分。（满分2分）</w:t>
            </w:r>
          </w:p>
        </w:tc>
      </w:tr>
    </w:tbl>
    <w:p w14:paraId="77892E7B">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2349425">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6F6EBA3C">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2DE64AF9">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0C5E21A">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④加分项（</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w:t>
      </w:r>
    </w:p>
    <w:p w14:paraId="615FF2E5">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a.优先类节能产品、环境标志产品：</w:t>
      </w:r>
    </w:p>
    <w:p w14:paraId="015829CA">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20%</w:t>
      </w:r>
      <w:r>
        <w:rPr>
          <w:rFonts w:hint="eastAsia" w:ascii="宋体" w:hAnsi="宋体" w:eastAsia="宋体" w:cs="宋体"/>
          <w:sz w:val="24"/>
          <w:szCs w:val="24"/>
        </w:rPr>
        <w:t>（含</w:t>
      </w:r>
      <w:r>
        <w:rPr>
          <w:rFonts w:hint="default" w:ascii="Calibri" w:hAnsi="Calibri" w:eastAsia="宋体" w:cs="Calibri"/>
          <w:sz w:val="24"/>
          <w:szCs w:val="24"/>
        </w:rPr>
        <w:t>20%</w:t>
      </w:r>
      <w:r>
        <w:rPr>
          <w:rFonts w:hint="eastAsia" w:ascii="宋体" w:hAnsi="宋体" w:eastAsia="宋体" w:cs="宋体"/>
          <w:sz w:val="24"/>
          <w:szCs w:val="24"/>
        </w:rPr>
        <w:t>）以下，将分别给予节能、环境标志产品价格项（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4%</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20%-50%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6%</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50%</w:t>
      </w:r>
      <w:r>
        <w:rPr>
          <w:rFonts w:hint="eastAsia" w:ascii="宋体" w:hAnsi="宋体" w:eastAsia="宋体" w:cs="宋体"/>
          <w:sz w:val="24"/>
          <w:szCs w:val="24"/>
        </w:rPr>
        <w:t>以上的，将分别给予节能、环境标志产品价格项（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8%</w:t>
      </w:r>
      <w:r>
        <w:rPr>
          <w:rFonts w:hint="eastAsia" w:ascii="宋体" w:hAnsi="宋体" w:eastAsia="宋体" w:cs="宋体"/>
          <w:sz w:val="24"/>
          <w:szCs w:val="24"/>
        </w:rPr>
        <w:t>的加分。</w:t>
      </w:r>
    </w:p>
    <w:p w14:paraId="6DD64962">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a2若节能、环境标志产品仅是构成投标产品的部件、组件或零件，则该投标产品不享受鼓励优惠政策。同一品目中各认证证书不重复计算加分。强制类节能产品不享受加分。</w:t>
      </w:r>
    </w:p>
    <w:tbl>
      <w:tblPr>
        <w:tblStyle w:val="6"/>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13"/>
        <w:gridCol w:w="1318"/>
        <w:gridCol w:w="5985"/>
      </w:tblGrid>
      <w:tr w14:paraId="2F1C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blHeader/>
        </w:trPr>
        <w:tc>
          <w:tcPr>
            <w:tcW w:w="1013" w:type="dxa"/>
            <w:tcBorders>
              <w:tl2br w:val="nil"/>
              <w:tr2bl w:val="nil"/>
            </w:tcBorders>
            <w:shd w:val="clear" w:color="auto" w:fill="auto"/>
            <w:vAlign w:val="center"/>
          </w:tcPr>
          <w:p w14:paraId="3F4D4BBD">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318" w:type="dxa"/>
            <w:tcBorders>
              <w:tl2br w:val="nil"/>
              <w:tr2bl w:val="nil"/>
            </w:tcBorders>
            <w:shd w:val="clear" w:color="auto" w:fill="auto"/>
            <w:vAlign w:val="center"/>
          </w:tcPr>
          <w:p w14:paraId="2D0F8916">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5985" w:type="dxa"/>
            <w:tcBorders>
              <w:tl2br w:val="nil"/>
              <w:tr2bl w:val="nil"/>
            </w:tcBorders>
            <w:shd w:val="clear" w:color="auto" w:fill="auto"/>
            <w:vAlign w:val="center"/>
          </w:tcPr>
          <w:p w14:paraId="3C7F83DE">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50939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013" w:type="dxa"/>
            <w:tcBorders>
              <w:tl2br w:val="nil"/>
              <w:tr2bl w:val="nil"/>
            </w:tcBorders>
            <w:shd w:val="clear" w:color="auto" w:fill="auto"/>
            <w:vAlign w:val="center"/>
          </w:tcPr>
          <w:p w14:paraId="6737886C">
            <w:pPr>
              <w:keepNext w:val="0"/>
              <w:keepLines w:val="0"/>
              <w:widowControl/>
              <w:suppressLineNumbers w:val="0"/>
              <w:jc w:val="left"/>
            </w:pPr>
            <w:r>
              <w:rPr>
                <w:rFonts w:ascii="宋体" w:hAnsi="宋体" w:eastAsia="宋体" w:cs="宋体"/>
                <w:kern w:val="0"/>
                <w:sz w:val="24"/>
                <w:szCs w:val="24"/>
                <w:lang w:val="en-US" w:eastAsia="zh-CN" w:bidi="ar"/>
              </w:rPr>
              <w:t>节能、减排、环境标志产品部分</w:t>
            </w:r>
          </w:p>
        </w:tc>
        <w:tc>
          <w:tcPr>
            <w:tcW w:w="1318" w:type="dxa"/>
            <w:tcBorders>
              <w:tl2br w:val="nil"/>
              <w:tr2bl w:val="nil"/>
            </w:tcBorders>
            <w:shd w:val="clear" w:color="auto" w:fill="auto"/>
            <w:vAlign w:val="center"/>
          </w:tcPr>
          <w:p w14:paraId="77D57852">
            <w:pPr>
              <w:keepNext w:val="0"/>
              <w:keepLines w:val="0"/>
              <w:widowControl/>
              <w:suppressLineNumbers w:val="0"/>
              <w:jc w:val="center"/>
            </w:pPr>
            <w:r>
              <w:rPr>
                <w:rFonts w:ascii="宋体" w:hAnsi="宋体" w:eastAsia="宋体" w:cs="宋体"/>
                <w:kern w:val="0"/>
                <w:sz w:val="24"/>
                <w:szCs w:val="24"/>
                <w:lang w:val="en-US" w:eastAsia="zh-CN" w:bidi="ar"/>
              </w:rPr>
              <w:t>6.8</w:t>
            </w:r>
          </w:p>
        </w:tc>
        <w:tc>
          <w:tcPr>
            <w:tcW w:w="5985" w:type="dxa"/>
            <w:tcBorders>
              <w:tl2br w:val="nil"/>
              <w:tr2bl w:val="nil"/>
            </w:tcBorders>
            <w:shd w:val="clear" w:color="auto" w:fill="auto"/>
            <w:vAlign w:val="center"/>
          </w:tcPr>
          <w:p w14:paraId="2B3A986D">
            <w:pPr>
              <w:keepNext w:val="0"/>
              <w:keepLines w:val="0"/>
              <w:widowControl/>
              <w:suppressLineNumbers w:val="0"/>
              <w:jc w:val="left"/>
            </w:pPr>
            <w:r>
              <w:rPr>
                <w:rFonts w:ascii="宋体" w:hAnsi="宋体" w:eastAsia="宋体" w:cs="宋体"/>
                <w:kern w:val="0"/>
                <w:sz w:val="24"/>
                <w:szCs w:val="24"/>
                <w:lang w:val="en-US" w:eastAsia="zh-CN" w:bidi="ar"/>
              </w:rPr>
              <w:t>（1）根据《国务院办公厅关于建立政府强制采购节能产品制度的通知》(国办发[2007]51号)和财政部、发展改革委发布的《节能产品政府采购实施意见》(财库[2004]185号)以及《财政部、国家发展改革委关于调整节能产品政府采购清单的通知》财库〔2017〕129号的规定，节能清单中的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为政府强制采购的节能产品(具体品目以“★”标注)，本次采购货物中属政府强制采购节能产品的，投标人所投产品必须是财政部、国家发展改革委公示的《节能产品政府采购清单》内产品，并提供产品的证明资料复印件加盖投标人公章，否则投标无效。 (2)节能(非强制类产品)、减排、环境标志产品评审优惠内容及幅度如下： ①、若同一合同包内的节能(非强制类产品)、减排、环境标志产品报价总金额低于本合同包报价总金额20%(含20%)以下的，将分别给予节能、减排、环境标志产品价格评标项和技术评标项标准总分值4％的加分； ②、若同一合同包内节能(非强制类产品)、减排、环境标志产品报价总金额占本合同包报价总金额20%-50%(含50%)的，将分别给予节能、减排、环境标志产品在价格评标项和技术评标项标准总分值6％的加分； ③、若同一合同包内节能(非强制类产品)、减排、环境标志产品报价总金额占本合同包报价总金额50%以上的，将分别给予节能、减排、环境标志产品在价格评标项和技术评标项标准总分值8％的加分。 注：本次政府采购活动已经开展但尚未进入评审环节的，执行本期和下期节能清单。对于同时列入财政部、环境保护部公示的《环境标志产品政府采购清单》和财政部、国家发展改革委公示的《节能产品政府采购清单》的产品，应当优先于只获得其中一项认证的产品。 投标人在投标时必须对属于节能、减排、环境标志产品单独在节能（非强制类）、环境标志产品统计表中填写，并提供产品的证明资料复印件附在报价部分(电子证明资料应上传在对应评分模块)且加盖投标人公章。未单独分项报价或未按规定提供产品的证明资料的不给予加分。投标产品属于节能、减排、环境标志清单内产品的，可享受相关的鼓励优惠政策；若节能、减排、环境标志清单内的产品仅是构成投标产品的部件、组件或零件的，则该投标产品不享受鼓励优惠政策。评标委员会审查此项响应性只根据投标文件本身的内容，而不寻求其他的外部证据。</w:t>
            </w:r>
          </w:p>
        </w:tc>
      </w:tr>
    </w:tbl>
    <w:p w14:paraId="7FD2C2E6">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（4）中标候选人排列规则顺序如下：</w:t>
      </w:r>
    </w:p>
    <w:p w14:paraId="53F8686A">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a.按照评标总得分（</w:t>
      </w:r>
      <w:r>
        <w:rPr>
          <w:rFonts w:hint="default" w:ascii="Calibri" w:hAnsi="Calibri" w:eastAsia="宋体" w:cs="Calibri"/>
          <w:sz w:val="24"/>
          <w:szCs w:val="24"/>
        </w:rPr>
        <w:t>FA</w:t>
      </w:r>
      <w:r>
        <w:rPr>
          <w:rFonts w:hint="eastAsia" w:ascii="宋体" w:hAnsi="宋体" w:eastAsia="宋体" w:cs="宋体"/>
          <w:sz w:val="24"/>
          <w:szCs w:val="24"/>
        </w:rPr>
        <w:t>）由高到低顺序排列。</w:t>
      </w:r>
    </w:p>
    <w:p w14:paraId="572CC55E">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b.评标总得分（</w:t>
      </w:r>
      <w:r>
        <w:rPr>
          <w:rFonts w:hint="default" w:ascii="Calibri" w:hAnsi="Calibri" w:eastAsia="宋体" w:cs="Calibri"/>
          <w:sz w:val="24"/>
          <w:szCs w:val="24"/>
        </w:rPr>
        <w:t>FA</w:t>
      </w:r>
      <w:r>
        <w:rPr>
          <w:rFonts w:hint="eastAsia" w:ascii="宋体" w:hAnsi="宋体" w:eastAsia="宋体" w:cs="宋体"/>
          <w:sz w:val="24"/>
          <w:szCs w:val="24"/>
        </w:rPr>
        <w:t>）相同的，按照评标价（即价格扣除后的投标报价）由低到高顺序排列。</w:t>
      </w:r>
    </w:p>
    <w:p w14:paraId="6E6BFA8D">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c.评标总得分（</w:t>
      </w:r>
      <w:r>
        <w:rPr>
          <w:rFonts w:hint="default" w:ascii="Calibri" w:hAnsi="Calibri" w:eastAsia="宋体" w:cs="Calibri"/>
          <w:sz w:val="24"/>
          <w:szCs w:val="24"/>
        </w:rPr>
        <w:t>FA</w:t>
      </w:r>
      <w:r>
        <w:rPr>
          <w:rFonts w:hint="eastAsia" w:ascii="宋体" w:hAnsi="宋体" w:eastAsia="宋体" w:cs="宋体"/>
          <w:sz w:val="24"/>
          <w:szCs w:val="24"/>
        </w:rPr>
        <w:t>）且评标价（即价格扣除后的投标报价）相同的并列。</w:t>
      </w:r>
    </w:p>
    <w:p w14:paraId="26B34703">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159EA79F">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648798DD">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34317C3B">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5BBA0431">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7EDCD4FB">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0FC6018B">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27469475">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2D56CC9E">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2945A35C">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2927DA21">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7440FFE5">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203B1C30">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54FDCF83">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08A13862">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2DA7D37F">
      <w:pPr>
        <w:pStyle w:val="5"/>
        <w:keepNext w:val="0"/>
        <w:keepLines w:val="0"/>
        <w:widowControl/>
        <w:suppressLineNumbers w:val="0"/>
        <w:shd w:val="clear" w:fill="FFFFFF"/>
        <w:spacing w:before="0" w:beforeAutospacing="0" w:after="150" w:afterAutospacing="0"/>
        <w:ind w:left="0" w:right="0"/>
        <w:rPr>
          <w:rFonts w:hint="eastAsia" w:ascii="微软雅黑" w:hAnsi="微软雅黑" w:eastAsia="微软雅黑" w:cs="微软雅黑"/>
          <w:color w:val="393939"/>
          <w:sz w:val="19"/>
          <w:szCs w:val="19"/>
        </w:rPr>
      </w:pPr>
      <w:r>
        <w:rPr>
          <w:rStyle w:val="8"/>
          <w:rFonts w:hint="eastAsia" w:ascii="宋体" w:hAnsi="宋体" w:eastAsia="宋体" w:cs="宋体"/>
          <w:b/>
          <w:color w:val="393939"/>
          <w:sz w:val="24"/>
          <w:szCs w:val="24"/>
          <w:shd w:val="clear" w:fill="FFFFFF"/>
        </w:rPr>
        <w:t>合同包3采用综合评分法</w:t>
      </w:r>
      <w:r>
        <w:rPr>
          <w:rFonts w:hint="eastAsia" w:ascii="宋体" w:hAnsi="宋体" w:eastAsia="宋体" w:cs="宋体"/>
          <w:color w:val="393939"/>
          <w:sz w:val="24"/>
          <w:szCs w:val="24"/>
          <w:shd w:val="clear" w:fill="FFFFFF"/>
        </w:rPr>
        <w:t>：</w:t>
      </w:r>
    </w:p>
    <w:p w14:paraId="305A717B">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（1）投标文件满足招标文件全部实质性要求，且按照评审因素的量化指标评审得分（即评标总得分）最高的投标人为中标候选人。</w:t>
      </w:r>
    </w:p>
    <w:p w14:paraId="41C22E9A">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（2）每个投标人的评标总得分</w:t>
      </w:r>
      <w:r>
        <w:rPr>
          <w:rFonts w:hint="default" w:ascii="Calibri" w:hAnsi="Calibri" w:eastAsia="宋体" w:cs="Calibri"/>
          <w:sz w:val="24"/>
          <w:szCs w:val="24"/>
        </w:rPr>
        <w:t>FA</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（若有），其中：</w:t>
      </w:r>
      <w:r>
        <w:rPr>
          <w:rFonts w:hint="default" w:ascii="Calibri" w:hAnsi="Calibri" w:eastAsia="宋体" w:cs="Calibri"/>
          <w:sz w:val="24"/>
          <w:szCs w:val="24"/>
        </w:rPr>
        <w:t>F1</w:t>
      </w:r>
      <w:r>
        <w:rPr>
          <w:rFonts w:hint="eastAsia" w:ascii="宋体" w:hAnsi="宋体" w:eastAsia="宋体" w:cs="宋体"/>
          <w:sz w:val="24"/>
          <w:szCs w:val="24"/>
        </w:rPr>
        <w:t>指价格项评审因素得分、</w:t>
      </w:r>
      <w:r>
        <w:rPr>
          <w:rFonts w:hint="default" w:ascii="Calibri" w:hAnsi="Calibri" w:eastAsia="宋体" w:cs="Calibri"/>
          <w:sz w:val="24"/>
          <w:szCs w:val="24"/>
        </w:rPr>
        <w:t>F2</w:t>
      </w:r>
      <w:r>
        <w:rPr>
          <w:rFonts w:hint="eastAsia" w:ascii="宋体" w:hAnsi="宋体" w:eastAsia="宋体" w:cs="宋体"/>
          <w:sz w:val="24"/>
          <w:szCs w:val="24"/>
        </w:rPr>
        <w:t>指技术项评审因素得分、</w:t>
      </w:r>
      <w:r>
        <w:rPr>
          <w:rFonts w:hint="default" w:ascii="Calibri" w:hAnsi="Calibri" w:eastAsia="宋体" w:cs="Calibri"/>
          <w:sz w:val="24"/>
          <w:szCs w:val="24"/>
        </w:rPr>
        <w:t>F3</w:t>
      </w:r>
      <w:r>
        <w:rPr>
          <w:rFonts w:hint="eastAsia" w:ascii="宋体" w:hAnsi="宋体" w:eastAsia="宋体" w:cs="宋体"/>
          <w:sz w:val="24"/>
          <w:szCs w:val="24"/>
        </w:rPr>
        <w:t>指商务项评审因素得分，</w:t>
      </w:r>
      <w:r>
        <w:rPr>
          <w:rFonts w:hint="default" w:ascii="Calibri" w:hAnsi="Calibri" w:eastAsia="宋体" w:cs="Calibri"/>
          <w:sz w:val="24"/>
          <w:szCs w:val="24"/>
        </w:rPr>
        <w:t>A1</w:t>
      </w:r>
      <w:r>
        <w:rPr>
          <w:rFonts w:hint="eastAsia" w:ascii="宋体" w:hAnsi="宋体" w:eastAsia="宋体" w:cs="宋体"/>
          <w:sz w:val="24"/>
          <w:szCs w:val="24"/>
        </w:rPr>
        <w:t>指价格项评审因素所占的权重、</w:t>
      </w:r>
      <w:r>
        <w:rPr>
          <w:rFonts w:hint="default" w:ascii="Calibri" w:hAnsi="Calibri" w:eastAsia="宋体" w:cs="Calibri"/>
          <w:sz w:val="24"/>
          <w:szCs w:val="24"/>
        </w:rPr>
        <w:t>A2</w:t>
      </w:r>
      <w:r>
        <w:rPr>
          <w:rFonts w:hint="eastAsia" w:ascii="宋体" w:hAnsi="宋体" w:eastAsia="宋体" w:cs="宋体"/>
          <w:sz w:val="24"/>
          <w:szCs w:val="24"/>
        </w:rPr>
        <w:t>指技术项评审因素所占的权重、</w:t>
      </w:r>
      <w:r>
        <w:rPr>
          <w:rFonts w:hint="default" w:ascii="Calibri" w:hAnsi="Calibri" w:eastAsia="宋体" w:cs="Calibri"/>
          <w:sz w:val="24"/>
          <w:szCs w:val="24"/>
        </w:rPr>
        <w:t>A3</w:t>
      </w:r>
      <w:r>
        <w:rPr>
          <w:rFonts w:hint="eastAsia" w:ascii="宋体" w:hAnsi="宋体" w:eastAsia="宋体" w:cs="宋体"/>
          <w:sz w:val="24"/>
          <w:szCs w:val="24"/>
        </w:rPr>
        <w:t>指商务项评审因素所占的权重，</w:t>
      </w:r>
      <w:r>
        <w:rPr>
          <w:rFonts w:hint="default" w:ascii="Calibri" w:hAnsi="Calibri" w:eastAsia="宋体" w:cs="Calibri"/>
          <w:sz w:val="24"/>
          <w:szCs w:val="24"/>
        </w:rPr>
        <w:t>A1+A2+A3=1</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A3=100</w:t>
      </w:r>
      <w:r>
        <w:rPr>
          <w:rFonts w:hint="eastAsia" w:ascii="宋体" w:hAnsi="宋体" w:eastAsia="宋体" w:cs="宋体"/>
          <w:sz w:val="24"/>
          <w:szCs w:val="24"/>
        </w:rPr>
        <w:t>分（满分时），</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为加分项（即优先类节能产品、环境标志产品在采购活动中可享有的加分优惠）。</w:t>
      </w:r>
    </w:p>
    <w:p w14:paraId="160DBD9F">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（3）各项评审因素的设置如下：</w:t>
      </w:r>
    </w:p>
    <w:p w14:paraId="660209A1">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①价格项（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）满分为</w:t>
      </w:r>
      <w:r>
        <w:rPr>
          <w:rFonts w:hint="eastAsia" w:ascii="宋体" w:hAnsi="宋体" w:eastAsia="宋体" w:cs="宋体"/>
          <w:sz w:val="24"/>
          <w:szCs w:val="24"/>
          <w:u w:val="single"/>
        </w:rPr>
        <w:t>30</w:t>
      </w:r>
      <w:r>
        <w:rPr>
          <w:rFonts w:hint="eastAsia" w:ascii="宋体" w:hAnsi="宋体" w:eastAsia="宋体" w:cs="宋体"/>
          <w:sz w:val="24"/>
          <w:szCs w:val="24"/>
        </w:rPr>
        <w:t>分。</w:t>
      </w:r>
    </w:p>
    <w:p w14:paraId="0666624C">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24"/>
          <w:szCs w:val="24"/>
        </w:rPr>
        <w:t>=</w:t>
      </w:r>
      <w:r>
        <w:rPr>
          <w:rFonts w:hint="eastAsia" w:ascii="宋体" w:hAnsi="宋体" w:eastAsia="宋体" w:cs="宋体"/>
          <w:sz w:val="24"/>
          <w:szCs w:val="24"/>
        </w:rPr>
        <w:t>（评标基准价／投标报价）×</w:t>
      </w:r>
      <w:r>
        <w:rPr>
          <w:rFonts w:hint="default" w:ascii="Calibri" w:hAnsi="Calibri" w:eastAsia="宋体" w:cs="Calibri"/>
          <w:sz w:val="24"/>
          <w:szCs w:val="24"/>
        </w:rPr>
        <w:t>100</w:t>
      </w:r>
      <w:r>
        <w:rPr>
          <w:rFonts w:hint="eastAsia" w:ascii="宋体" w:hAnsi="宋体" w:eastAsia="宋体" w:cs="宋体"/>
          <w:sz w:val="24"/>
          <w:szCs w:val="24"/>
        </w:rPr>
        <w:t>。因落实政府采购政策需进行价格扣除的，以扣除后的价格计算评标基准价和投标报价。</w:t>
      </w:r>
    </w:p>
    <w:p w14:paraId="12940C74">
      <w:pPr>
        <w:pStyle w:val="5"/>
        <w:keepNext w:val="0"/>
        <w:keepLines w:val="0"/>
        <w:widowControl/>
        <w:suppressLineNumbers w:val="0"/>
        <w:spacing w:before="0" w:beforeAutospacing="0" w:after="150" w:afterAutospacing="0"/>
        <w:ind w:left="0" w:right="0" w:firstLine="480"/>
      </w:pPr>
      <w:r>
        <w:rPr>
          <w:rFonts w:hint="default" w:ascii="Calibri" w:hAnsi="Calibri" w:cs="Calibri"/>
          <w:sz w:val="24"/>
          <w:szCs w:val="24"/>
        </w:rPr>
        <w:t>b.</w:t>
      </w:r>
      <w:r>
        <w:rPr>
          <w:rFonts w:hint="eastAsia" w:ascii="宋体" w:hAnsi="宋体" w:eastAsia="宋体" w:cs="宋体"/>
          <w:sz w:val="24"/>
          <w:szCs w:val="24"/>
        </w:rPr>
        <w:t>价格扣除的规则如下：</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71"/>
        <w:gridCol w:w="7151"/>
      </w:tblGrid>
      <w:tr w14:paraId="1F76B81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14:paraId="4F92BE68">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14:paraId="1B36842C">
            <w:pPr>
              <w:keepNext w:val="0"/>
              <w:keepLines w:val="0"/>
              <w:widowControl/>
              <w:suppressLineNumbers w:val="0"/>
              <w:jc w:val="center"/>
            </w:pPr>
            <w:r>
              <w:rPr>
                <w:rFonts w:ascii="宋体" w:hAnsi="宋体" w:eastAsia="宋体" w:cs="宋体"/>
                <w:kern w:val="0"/>
                <w:sz w:val="24"/>
                <w:szCs w:val="24"/>
                <w:lang w:val="en-US" w:eastAsia="zh-CN" w:bidi="ar"/>
              </w:rPr>
              <w:t>评标方法</w:t>
            </w:r>
          </w:p>
        </w:tc>
      </w:tr>
      <w:tr w14:paraId="177897A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14:paraId="3AECEA43">
            <w:pPr>
              <w:keepNext w:val="0"/>
              <w:keepLines w:val="0"/>
              <w:widowControl/>
              <w:suppressLineNumbers w:val="0"/>
              <w:jc w:val="left"/>
            </w:pPr>
            <w:r>
              <w:rPr>
                <w:rFonts w:ascii="宋体" w:hAnsi="宋体" w:eastAsia="宋体" w:cs="宋体"/>
                <w:kern w:val="0"/>
                <w:sz w:val="24"/>
                <w:szCs w:val="24"/>
                <w:lang w:val="en-US" w:eastAsia="zh-CN" w:bidi="ar"/>
              </w:rPr>
              <w:t>小型、微型企业，监狱企业，残疾人</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14:paraId="30B313D6">
            <w:pPr>
              <w:keepNext w:val="0"/>
              <w:keepLines w:val="0"/>
              <w:widowControl/>
              <w:suppressLineNumbers w:val="0"/>
              <w:jc w:val="left"/>
            </w:pPr>
            <w:r>
              <w:rPr>
                <w:rStyle w:val="8"/>
                <w:rFonts w:ascii="宋体" w:hAnsi="宋体" w:eastAsia="宋体" w:cs="宋体"/>
                <w:b/>
                <w:kern w:val="0"/>
                <w:sz w:val="24"/>
                <w:szCs w:val="24"/>
                <w:lang w:val="en-US" w:eastAsia="zh-CN" w:bidi="ar"/>
              </w:rPr>
              <w:t>小型、微型企业，监狱企业，残疾人 《政府采购促进中小企业发展暂行办法》价格的扣除：1、根据财政部、工信部印发的《政府采购促进中小企业发展暂行办法》财库〔2011〕181号，本办法所称中小企业(含中型、小型、微型企业，下同)应当同时符合以下条件：(1)符合中小企业划分标准；(2)提供本企业制造的货物、承担的工程或者服务，或者提供其他中小企业制造的货物。本项所称货物不包括使用大型企业注册商标的货物。本办法所称中小企业划分标准，是指国务院有关部门根据企业从业人员、营业收入、资产总额等指标制定的中小企业划型标准。小型、微型企业提供中型企业制造的货物的，视同为中型企业。2、本项目为非专门面向中小企业的项目，对小型和微型企业产品的价格给予6%的扣除，用扣除后的价格参与评审。残疾人集中就业企业、监狱企业视同小型和微型企业，享受评审中价格扣除的政府采购政策。3、参加政府采购活动的中小企业应当提供《政府采购促进中小企业发展暂行办法》规定的《中小企业声明函》(见第七章投标文件格式)。4、政府采购对中小企业的认定，由企业所在地的县级以上中小企业主管部门负责。须提供中小企业主管部门的证明函，否则不予价格扣除。5、监狱企业参加政府采购活动时，应当提供由省级以上监狱管理局、戒毒管理局(含新疆生产建设兵团)出具的属于监狱企业的证明文件，否则不予价格扣除。注：投标人在报价时必须对提供本企业制造的货物、承担的工程或者服务，或者提供其他中小企业制造的货物单独在小型、微型企业产品统计表中填写，并提供相关证明资料复印件附在报价部分(电子证明资料应上传在对应评分模块)且加盖投标人公章。未单独分项报价或未按规定提供相关证明资料的不给予价格扣除。评标委员会审查此项响应性只根据投标文件本身的内容，而不寻求其他的外部证据。残疾人福利性单位产品《三部门联合发布关于促进残疾人就业政府采购政策的通知》价格的扣除：1、根据财政部、民政部、中国残疾人联合会印发的《三部门联合发布关于促进残疾人就业政府采购政策的通知》财库〔2017〕141号，依照《政府采购法》、《残疾人保障法》等法律法规及相关规定，享受政府采购支持政策的残疾人福利性单位应当同时满足以下条件：(1)安置的残疾人占本单位在职职工人数的比例不低于25%(含25%)，并且安置的残疾人人数不少于10人(含10人)；(2)依法与安置的每位残疾人签订了一年以上(含一年)的劳动合同或服务协议；(3)为安置的每位残疾人按月足额缴纳了基本养老保险、基本医疗保险、失业保险、工伤保险和生育保险等社会保险费；(4)通过银行等金融机构向安置的每位残疾人，按月支付了不低于单位所在区县适用的经省级人民政府批准的月最低工资标准的工资；(5)提供本单位制造的货物、承担的工程或者服务(以下简称产品)，或者提供其他残疾人福利性单位制造的货物(不包括使用非残疾人福利性单位注册商标的货物)。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2、符合条件的残疾人福利性单位在参加政府采购活动时，应当提供《三部门联合发布关于促进残疾人就业政府采购政策的通知》规定的《残疾人福利性单位声明函》(见招标文件格式)，并对声明的真实性负责。3、在政府采购活动中，残疾人福利性单位视同小型、微型企业，享受“《政府采购促进中小企业发展暂行办法》价格的扣除”的政府采购政策。残疾人福利性单位属于小型、微型企业的，不重复享受政策。</w:t>
            </w:r>
          </w:p>
        </w:tc>
      </w:tr>
    </w:tbl>
    <w:p w14:paraId="36031A32">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3B9815D">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25DADB0A">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DEA912F">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F7177D4">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215C282D">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6858357F">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23FA4888">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15F078B">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BE3B186">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5835CE22">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5799511C">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BD61C26">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②技术项（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）满分为</w:t>
      </w:r>
      <w:r>
        <w:rPr>
          <w:rFonts w:hint="eastAsia" w:ascii="宋体" w:hAnsi="宋体" w:eastAsia="宋体" w:cs="宋体"/>
          <w:sz w:val="24"/>
          <w:szCs w:val="24"/>
          <w:u w:val="single"/>
        </w:rPr>
        <w:t>55</w:t>
      </w:r>
      <w:r>
        <w:rPr>
          <w:rFonts w:hint="eastAsia" w:ascii="宋体" w:hAnsi="宋体" w:eastAsia="宋体" w:cs="宋体"/>
          <w:sz w:val="24"/>
          <w:szCs w:val="24"/>
        </w:rPr>
        <w:t>分。</w:t>
      </w:r>
    </w:p>
    <w:tbl>
      <w:tblPr>
        <w:tblStyle w:val="6"/>
        <w:tblW w:w="832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218"/>
        <w:gridCol w:w="1098"/>
        <w:gridCol w:w="6004"/>
      </w:tblGrid>
      <w:tr w14:paraId="28EB8DB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12" w:hRule="atLeast"/>
          <w:tblHeader/>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14:paraId="03622F87">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098" w:type="dxa"/>
            <w:tcBorders>
              <w:top w:val="outset" w:color="auto" w:sz="6" w:space="0"/>
              <w:left w:val="outset" w:color="auto" w:sz="6" w:space="0"/>
              <w:bottom w:val="outset" w:color="auto" w:sz="6" w:space="0"/>
              <w:right w:val="outset" w:color="auto" w:sz="6" w:space="0"/>
            </w:tcBorders>
            <w:shd w:val="clear" w:color="auto" w:fill="auto"/>
            <w:vAlign w:val="center"/>
          </w:tcPr>
          <w:p w14:paraId="642EE55F">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004" w:type="dxa"/>
            <w:tcBorders>
              <w:top w:val="outset" w:color="auto" w:sz="6" w:space="0"/>
              <w:left w:val="outset" w:color="auto" w:sz="6" w:space="0"/>
              <w:bottom w:val="outset" w:color="auto" w:sz="6" w:space="0"/>
              <w:right w:val="outset" w:color="auto" w:sz="6" w:space="0"/>
            </w:tcBorders>
            <w:shd w:val="clear" w:color="auto" w:fill="auto"/>
            <w:vAlign w:val="center"/>
          </w:tcPr>
          <w:p w14:paraId="297BA3F0">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3F433D1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260"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14:paraId="72C3558F">
            <w:pPr>
              <w:keepNext w:val="0"/>
              <w:keepLines w:val="0"/>
              <w:widowControl/>
              <w:suppressLineNumbers w:val="0"/>
              <w:jc w:val="left"/>
            </w:pPr>
            <w:r>
              <w:rPr>
                <w:rFonts w:ascii="宋体" w:hAnsi="宋体" w:eastAsia="宋体" w:cs="宋体"/>
                <w:kern w:val="0"/>
                <w:sz w:val="24"/>
                <w:szCs w:val="24"/>
                <w:lang w:val="en-US" w:eastAsia="zh-CN" w:bidi="ar"/>
              </w:rPr>
              <w:t>A1、所投货物技术的响应情况</w:t>
            </w:r>
          </w:p>
        </w:tc>
        <w:tc>
          <w:tcPr>
            <w:tcW w:w="1098" w:type="dxa"/>
            <w:tcBorders>
              <w:top w:val="outset" w:color="auto" w:sz="6" w:space="0"/>
              <w:left w:val="outset" w:color="auto" w:sz="6" w:space="0"/>
              <w:bottom w:val="outset" w:color="auto" w:sz="6" w:space="0"/>
              <w:right w:val="outset" w:color="auto" w:sz="6" w:space="0"/>
            </w:tcBorders>
            <w:shd w:val="clear" w:color="auto" w:fill="auto"/>
            <w:vAlign w:val="center"/>
          </w:tcPr>
          <w:p w14:paraId="45BF68DB">
            <w:pPr>
              <w:keepNext w:val="0"/>
              <w:keepLines w:val="0"/>
              <w:widowControl/>
              <w:suppressLineNumbers w:val="0"/>
              <w:jc w:val="center"/>
            </w:pPr>
            <w:r>
              <w:rPr>
                <w:rFonts w:ascii="宋体" w:hAnsi="宋体" w:eastAsia="宋体" w:cs="宋体"/>
                <w:kern w:val="0"/>
                <w:sz w:val="24"/>
                <w:szCs w:val="24"/>
                <w:lang w:val="en-US" w:eastAsia="zh-CN" w:bidi="ar"/>
              </w:rPr>
              <w:t>38</w:t>
            </w:r>
          </w:p>
        </w:tc>
        <w:tc>
          <w:tcPr>
            <w:tcW w:w="6004" w:type="dxa"/>
            <w:tcBorders>
              <w:top w:val="outset" w:color="auto" w:sz="6" w:space="0"/>
              <w:left w:val="outset" w:color="auto" w:sz="6" w:space="0"/>
              <w:bottom w:val="outset" w:color="auto" w:sz="6" w:space="0"/>
              <w:right w:val="outset" w:color="auto" w:sz="6" w:space="0"/>
            </w:tcBorders>
            <w:shd w:val="clear" w:color="auto" w:fill="auto"/>
            <w:vAlign w:val="center"/>
          </w:tcPr>
          <w:p w14:paraId="52582E89">
            <w:pPr>
              <w:keepNext w:val="0"/>
              <w:keepLines w:val="0"/>
              <w:widowControl/>
              <w:suppressLineNumbers w:val="0"/>
              <w:jc w:val="left"/>
            </w:pPr>
            <w:r>
              <w:rPr>
                <w:rFonts w:ascii="宋体" w:hAnsi="宋体" w:eastAsia="宋体" w:cs="宋体"/>
                <w:kern w:val="0"/>
                <w:sz w:val="24"/>
                <w:szCs w:val="24"/>
                <w:lang w:val="en-US" w:eastAsia="zh-CN" w:bidi="ar"/>
              </w:rPr>
              <w:t>根据投标人对招标文件第五章《招标内容及要求》二、技术和服务要求“合同包3：“羽绒服”参数要求的逐项响应、承诺的情况由评委进行评议评分，投标人所投产品完全满足招标文件技术规范及要求的得38分，有负偏离情况的，每负偏离一项扣3分，扣完为止，正偏离不加分。（满分38分）</w:t>
            </w:r>
          </w:p>
        </w:tc>
      </w:tr>
      <w:tr w14:paraId="707D7FC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16"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14:paraId="7E004213">
            <w:pPr>
              <w:keepNext w:val="0"/>
              <w:keepLines w:val="0"/>
              <w:widowControl/>
              <w:suppressLineNumbers w:val="0"/>
              <w:jc w:val="left"/>
            </w:pPr>
            <w:r>
              <w:rPr>
                <w:rFonts w:ascii="宋体" w:hAnsi="宋体" w:eastAsia="宋体" w:cs="宋体"/>
                <w:kern w:val="0"/>
                <w:sz w:val="24"/>
                <w:szCs w:val="24"/>
                <w:lang w:val="en-US" w:eastAsia="zh-CN" w:bidi="ar"/>
              </w:rPr>
              <w:t>A2、生产情况说明</w:t>
            </w:r>
          </w:p>
        </w:tc>
        <w:tc>
          <w:tcPr>
            <w:tcW w:w="1098" w:type="dxa"/>
            <w:tcBorders>
              <w:top w:val="outset" w:color="auto" w:sz="6" w:space="0"/>
              <w:left w:val="outset" w:color="auto" w:sz="6" w:space="0"/>
              <w:bottom w:val="outset" w:color="auto" w:sz="6" w:space="0"/>
              <w:right w:val="outset" w:color="auto" w:sz="6" w:space="0"/>
            </w:tcBorders>
            <w:shd w:val="clear" w:color="auto" w:fill="auto"/>
            <w:vAlign w:val="center"/>
          </w:tcPr>
          <w:p w14:paraId="1BA722FA">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04" w:type="dxa"/>
            <w:tcBorders>
              <w:top w:val="outset" w:color="auto" w:sz="6" w:space="0"/>
              <w:left w:val="outset" w:color="auto" w:sz="6" w:space="0"/>
              <w:bottom w:val="outset" w:color="auto" w:sz="6" w:space="0"/>
              <w:right w:val="outset" w:color="auto" w:sz="6" w:space="0"/>
            </w:tcBorders>
            <w:shd w:val="clear" w:color="auto" w:fill="auto"/>
            <w:vAlign w:val="center"/>
          </w:tcPr>
          <w:p w14:paraId="3D126A83">
            <w:pPr>
              <w:keepNext w:val="0"/>
              <w:keepLines w:val="0"/>
              <w:widowControl/>
              <w:suppressLineNumbers w:val="0"/>
              <w:jc w:val="left"/>
            </w:pPr>
            <w:r>
              <w:rPr>
                <w:rFonts w:ascii="宋体" w:hAnsi="宋体" w:eastAsia="宋体" w:cs="宋体"/>
                <w:kern w:val="0"/>
                <w:sz w:val="24"/>
                <w:szCs w:val="24"/>
                <w:lang w:val="en-US" w:eastAsia="zh-CN" w:bidi="ar"/>
              </w:rPr>
              <w:t>根据投标人提供的生产计划，生产方案、产品工艺流程说明、加工设备清单等进行横向评议，由评委在0～3分之间进行评分。</w:t>
            </w:r>
          </w:p>
        </w:tc>
      </w:tr>
      <w:tr w14:paraId="01AFE67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12"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14:paraId="56F1B0B5">
            <w:pPr>
              <w:keepNext w:val="0"/>
              <w:keepLines w:val="0"/>
              <w:widowControl/>
              <w:suppressLineNumbers w:val="0"/>
              <w:jc w:val="left"/>
            </w:pPr>
            <w:r>
              <w:rPr>
                <w:rFonts w:ascii="宋体" w:hAnsi="宋体" w:eastAsia="宋体" w:cs="宋体"/>
                <w:kern w:val="0"/>
                <w:sz w:val="24"/>
                <w:szCs w:val="24"/>
                <w:lang w:val="en-US" w:eastAsia="zh-CN" w:bidi="ar"/>
              </w:rPr>
              <w:t>A3、项目保障措施</w:t>
            </w:r>
          </w:p>
        </w:tc>
        <w:tc>
          <w:tcPr>
            <w:tcW w:w="1098" w:type="dxa"/>
            <w:tcBorders>
              <w:top w:val="outset" w:color="auto" w:sz="6" w:space="0"/>
              <w:left w:val="outset" w:color="auto" w:sz="6" w:space="0"/>
              <w:bottom w:val="outset" w:color="auto" w:sz="6" w:space="0"/>
              <w:right w:val="outset" w:color="auto" w:sz="6" w:space="0"/>
            </w:tcBorders>
            <w:shd w:val="clear" w:color="auto" w:fill="auto"/>
            <w:vAlign w:val="center"/>
          </w:tcPr>
          <w:p w14:paraId="2154FCE0">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04" w:type="dxa"/>
            <w:tcBorders>
              <w:top w:val="outset" w:color="auto" w:sz="6" w:space="0"/>
              <w:left w:val="outset" w:color="auto" w:sz="6" w:space="0"/>
              <w:bottom w:val="outset" w:color="auto" w:sz="6" w:space="0"/>
              <w:right w:val="outset" w:color="auto" w:sz="6" w:space="0"/>
            </w:tcBorders>
            <w:shd w:val="clear" w:color="auto" w:fill="auto"/>
            <w:vAlign w:val="center"/>
          </w:tcPr>
          <w:p w14:paraId="1FC21D43">
            <w:pPr>
              <w:keepNext w:val="0"/>
              <w:keepLines w:val="0"/>
              <w:widowControl/>
              <w:suppressLineNumbers w:val="0"/>
              <w:jc w:val="left"/>
            </w:pPr>
            <w:r>
              <w:rPr>
                <w:rFonts w:ascii="宋体" w:hAnsi="宋体" w:eastAsia="宋体" w:cs="宋体"/>
                <w:kern w:val="0"/>
                <w:sz w:val="24"/>
                <w:szCs w:val="24"/>
                <w:lang w:val="en-US" w:eastAsia="zh-CN" w:bidi="ar"/>
              </w:rPr>
              <w:t>根据投标人提供的产品检测方案、质量保障，供货保障方案详细程度等进行横向评议，保障方案罗列齐全详细且保障方案可行性强的得3分；方案一般但较为合理的得2分，保障方案不合理或未提供保障方案的本项不得分。</w:t>
            </w:r>
          </w:p>
        </w:tc>
      </w:tr>
      <w:tr w14:paraId="4A35E54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16"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14:paraId="7C542324">
            <w:pPr>
              <w:keepNext w:val="0"/>
              <w:keepLines w:val="0"/>
              <w:widowControl/>
              <w:suppressLineNumbers w:val="0"/>
              <w:jc w:val="left"/>
            </w:pPr>
            <w:r>
              <w:rPr>
                <w:rFonts w:ascii="宋体" w:hAnsi="宋体" w:eastAsia="宋体" w:cs="宋体"/>
                <w:kern w:val="0"/>
                <w:sz w:val="24"/>
                <w:szCs w:val="24"/>
                <w:lang w:val="en-US" w:eastAsia="zh-CN" w:bidi="ar"/>
              </w:rPr>
              <w:t>A4-1、样品情况</w:t>
            </w:r>
          </w:p>
        </w:tc>
        <w:tc>
          <w:tcPr>
            <w:tcW w:w="1098" w:type="dxa"/>
            <w:tcBorders>
              <w:top w:val="outset" w:color="auto" w:sz="6" w:space="0"/>
              <w:left w:val="outset" w:color="auto" w:sz="6" w:space="0"/>
              <w:bottom w:val="outset" w:color="auto" w:sz="6" w:space="0"/>
              <w:right w:val="outset" w:color="auto" w:sz="6" w:space="0"/>
            </w:tcBorders>
            <w:shd w:val="clear" w:color="auto" w:fill="auto"/>
            <w:vAlign w:val="center"/>
          </w:tcPr>
          <w:p w14:paraId="30C46382">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04" w:type="dxa"/>
            <w:tcBorders>
              <w:top w:val="outset" w:color="auto" w:sz="6" w:space="0"/>
              <w:left w:val="outset" w:color="auto" w:sz="6" w:space="0"/>
              <w:bottom w:val="outset" w:color="auto" w:sz="6" w:space="0"/>
              <w:right w:val="outset" w:color="auto" w:sz="6" w:space="0"/>
            </w:tcBorders>
            <w:shd w:val="clear" w:color="auto" w:fill="auto"/>
            <w:vAlign w:val="center"/>
          </w:tcPr>
          <w:p w14:paraId="3C8E1365">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根据投标人所提供样品的整体质量情况由评委在0～3分之间进行评分。</w:t>
            </w:r>
          </w:p>
        </w:tc>
      </w:tr>
      <w:tr w14:paraId="6A60C4F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16"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14:paraId="2647681B">
            <w:pPr>
              <w:keepNext w:val="0"/>
              <w:keepLines w:val="0"/>
              <w:widowControl/>
              <w:suppressLineNumbers w:val="0"/>
              <w:jc w:val="left"/>
            </w:pPr>
            <w:r>
              <w:rPr>
                <w:rFonts w:ascii="宋体" w:hAnsi="宋体" w:eastAsia="宋体" w:cs="宋体"/>
                <w:kern w:val="0"/>
                <w:sz w:val="24"/>
                <w:szCs w:val="24"/>
                <w:lang w:val="en-US" w:eastAsia="zh-CN" w:bidi="ar"/>
              </w:rPr>
              <w:t>A4-2、样品情况</w:t>
            </w:r>
          </w:p>
        </w:tc>
        <w:tc>
          <w:tcPr>
            <w:tcW w:w="1098" w:type="dxa"/>
            <w:tcBorders>
              <w:top w:val="outset" w:color="auto" w:sz="6" w:space="0"/>
              <w:left w:val="outset" w:color="auto" w:sz="6" w:space="0"/>
              <w:bottom w:val="outset" w:color="auto" w:sz="6" w:space="0"/>
              <w:right w:val="outset" w:color="auto" w:sz="6" w:space="0"/>
            </w:tcBorders>
            <w:shd w:val="clear" w:color="auto" w:fill="auto"/>
            <w:vAlign w:val="center"/>
          </w:tcPr>
          <w:p w14:paraId="6C86CE80">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04" w:type="dxa"/>
            <w:tcBorders>
              <w:top w:val="outset" w:color="auto" w:sz="6" w:space="0"/>
              <w:left w:val="outset" w:color="auto" w:sz="6" w:space="0"/>
              <w:bottom w:val="outset" w:color="auto" w:sz="6" w:space="0"/>
              <w:right w:val="outset" w:color="auto" w:sz="6" w:space="0"/>
            </w:tcBorders>
            <w:shd w:val="clear" w:color="auto" w:fill="auto"/>
            <w:vAlign w:val="center"/>
          </w:tcPr>
          <w:p w14:paraId="0BB22819">
            <w:pPr>
              <w:keepNext w:val="0"/>
              <w:keepLines w:val="0"/>
              <w:widowControl/>
              <w:suppressLineNumbers w:val="0"/>
              <w:jc w:val="left"/>
            </w:pPr>
            <w:r>
              <w:rPr>
                <w:rFonts w:ascii="宋体" w:hAnsi="宋体" w:eastAsia="宋体" w:cs="宋体"/>
                <w:kern w:val="0"/>
                <w:sz w:val="24"/>
                <w:szCs w:val="24"/>
                <w:lang w:val="en-US" w:eastAsia="zh-CN" w:bidi="ar"/>
              </w:rPr>
              <w:t>根据投标人所提供样品的面料情况由评委在0～3分之间进行评分。</w:t>
            </w:r>
          </w:p>
        </w:tc>
      </w:tr>
      <w:tr w14:paraId="2BDF12C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16"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14:paraId="7EFD1F26">
            <w:pPr>
              <w:keepNext w:val="0"/>
              <w:keepLines w:val="0"/>
              <w:widowControl/>
              <w:suppressLineNumbers w:val="0"/>
              <w:jc w:val="left"/>
            </w:pPr>
            <w:r>
              <w:rPr>
                <w:rFonts w:ascii="宋体" w:hAnsi="宋体" w:eastAsia="宋体" w:cs="宋体"/>
                <w:kern w:val="0"/>
                <w:sz w:val="24"/>
                <w:szCs w:val="24"/>
                <w:lang w:val="en-US" w:eastAsia="zh-CN" w:bidi="ar"/>
              </w:rPr>
              <w:t>A4-3、样品情况</w:t>
            </w:r>
          </w:p>
        </w:tc>
        <w:tc>
          <w:tcPr>
            <w:tcW w:w="1098" w:type="dxa"/>
            <w:tcBorders>
              <w:top w:val="outset" w:color="auto" w:sz="6" w:space="0"/>
              <w:left w:val="outset" w:color="auto" w:sz="6" w:space="0"/>
              <w:bottom w:val="outset" w:color="auto" w:sz="6" w:space="0"/>
              <w:right w:val="outset" w:color="auto" w:sz="6" w:space="0"/>
            </w:tcBorders>
            <w:shd w:val="clear" w:color="auto" w:fill="auto"/>
            <w:vAlign w:val="center"/>
          </w:tcPr>
          <w:p w14:paraId="3093AD7B">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04" w:type="dxa"/>
            <w:tcBorders>
              <w:top w:val="outset" w:color="auto" w:sz="6" w:space="0"/>
              <w:left w:val="outset" w:color="auto" w:sz="6" w:space="0"/>
              <w:bottom w:val="outset" w:color="auto" w:sz="6" w:space="0"/>
              <w:right w:val="outset" w:color="auto" w:sz="6" w:space="0"/>
            </w:tcBorders>
            <w:shd w:val="clear" w:color="auto" w:fill="auto"/>
            <w:vAlign w:val="center"/>
          </w:tcPr>
          <w:p w14:paraId="12AF6A69">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根据投标人所提供样品的整体工艺水平由评委在0～3分之间进行评分。</w:t>
            </w:r>
          </w:p>
        </w:tc>
      </w:tr>
      <w:tr w14:paraId="68A3C8F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38"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14:paraId="3D6BD214">
            <w:pPr>
              <w:keepNext w:val="0"/>
              <w:keepLines w:val="0"/>
              <w:widowControl/>
              <w:suppressLineNumbers w:val="0"/>
              <w:jc w:val="left"/>
            </w:pPr>
            <w:r>
              <w:rPr>
                <w:rFonts w:ascii="宋体" w:hAnsi="宋体" w:eastAsia="宋体" w:cs="宋体"/>
                <w:kern w:val="0"/>
                <w:sz w:val="24"/>
                <w:szCs w:val="24"/>
                <w:lang w:val="en-US" w:eastAsia="zh-CN" w:bidi="ar"/>
              </w:rPr>
              <w:t>A4-4、样品情况</w:t>
            </w:r>
          </w:p>
        </w:tc>
        <w:tc>
          <w:tcPr>
            <w:tcW w:w="1098" w:type="dxa"/>
            <w:tcBorders>
              <w:top w:val="outset" w:color="auto" w:sz="6" w:space="0"/>
              <w:left w:val="outset" w:color="auto" w:sz="6" w:space="0"/>
              <w:bottom w:val="outset" w:color="auto" w:sz="6" w:space="0"/>
              <w:right w:val="outset" w:color="auto" w:sz="6" w:space="0"/>
            </w:tcBorders>
            <w:shd w:val="clear" w:color="auto" w:fill="auto"/>
            <w:vAlign w:val="center"/>
          </w:tcPr>
          <w:p w14:paraId="7DBEA935">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004" w:type="dxa"/>
            <w:tcBorders>
              <w:top w:val="outset" w:color="auto" w:sz="6" w:space="0"/>
              <w:left w:val="outset" w:color="auto" w:sz="6" w:space="0"/>
              <w:bottom w:val="outset" w:color="auto" w:sz="6" w:space="0"/>
              <w:right w:val="outset" w:color="auto" w:sz="6" w:space="0"/>
            </w:tcBorders>
            <w:shd w:val="clear" w:color="auto" w:fill="auto"/>
            <w:vAlign w:val="center"/>
          </w:tcPr>
          <w:p w14:paraId="47C3B2C2">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根据投标人所提供样品的手感情况由评委在0～2分之间进行评分。</w:t>
            </w:r>
          </w:p>
        </w:tc>
      </w:tr>
    </w:tbl>
    <w:p w14:paraId="6B4101CB">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7DEDDE7">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41CA463">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8E8F0BE">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A25B70F">
      <w:pPr>
        <w:pStyle w:val="5"/>
        <w:keepNext w:val="0"/>
        <w:keepLines w:val="0"/>
        <w:widowControl/>
        <w:suppressLineNumbers w:val="0"/>
        <w:spacing w:before="0" w:beforeAutospacing="0" w:after="150" w:afterAutospacing="0"/>
        <w:ind w:right="0"/>
        <w:rPr>
          <w:rFonts w:hint="eastAsia" w:ascii="宋体" w:hAnsi="宋体" w:eastAsia="宋体" w:cs="宋体"/>
          <w:sz w:val="24"/>
          <w:szCs w:val="24"/>
        </w:rPr>
      </w:pPr>
    </w:p>
    <w:p w14:paraId="0E04FCFC">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67E499E7">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③商务项（</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）满分为</w:t>
      </w:r>
      <w:r>
        <w:rPr>
          <w:rFonts w:hint="eastAsia" w:ascii="宋体" w:hAnsi="宋体" w:eastAsia="宋体" w:cs="宋体"/>
          <w:sz w:val="24"/>
          <w:szCs w:val="24"/>
          <w:u w:val="single"/>
        </w:rPr>
        <w:t>15</w:t>
      </w:r>
      <w:r>
        <w:rPr>
          <w:rFonts w:hint="eastAsia" w:ascii="宋体" w:hAnsi="宋体" w:eastAsia="宋体" w:cs="宋体"/>
          <w:sz w:val="24"/>
          <w:szCs w:val="24"/>
        </w:rPr>
        <w:t>分。</w:t>
      </w:r>
    </w:p>
    <w:tbl>
      <w:tblPr>
        <w:tblStyle w:val="6"/>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101"/>
        <w:gridCol w:w="1215"/>
        <w:gridCol w:w="5984"/>
      </w:tblGrid>
      <w:tr w14:paraId="6C8B2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494" w:hRule="atLeast"/>
          <w:tblHeader/>
        </w:trPr>
        <w:tc>
          <w:tcPr>
            <w:tcW w:w="1101" w:type="dxa"/>
            <w:tcBorders>
              <w:tl2br w:val="nil"/>
              <w:tr2bl w:val="nil"/>
            </w:tcBorders>
            <w:shd w:val="clear" w:color="auto" w:fill="auto"/>
            <w:vAlign w:val="center"/>
          </w:tcPr>
          <w:p w14:paraId="12A2AA4D">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215" w:type="dxa"/>
            <w:tcBorders>
              <w:tl2br w:val="nil"/>
              <w:tr2bl w:val="nil"/>
            </w:tcBorders>
            <w:shd w:val="clear" w:color="auto" w:fill="auto"/>
            <w:vAlign w:val="center"/>
          </w:tcPr>
          <w:p w14:paraId="4D3D86AC">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5984" w:type="dxa"/>
            <w:tcBorders>
              <w:tl2br w:val="nil"/>
              <w:tr2bl w:val="nil"/>
            </w:tcBorders>
            <w:shd w:val="clear" w:color="auto" w:fill="auto"/>
            <w:vAlign w:val="center"/>
          </w:tcPr>
          <w:p w14:paraId="55E049BC">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7C518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605" w:hRule="atLeast"/>
        </w:trPr>
        <w:tc>
          <w:tcPr>
            <w:tcW w:w="1101" w:type="dxa"/>
            <w:tcBorders>
              <w:tl2br w:val="nil"/>
              <w:tr2bl w:val="nil"/>
            </w:tcBorders>
            <w:shd w:val="clear" w:color="auto" w:fill="auto"/>
            <w:vAlign w:val="center"/>
          </w:tcPr>
          <w:p w14:paraId="1E2E24D6">
            <w:pPr>
              <w:keepNext w:val="0"/>
              <w:keepLines w:val="0"/>
              <w:widowControl/>
              <w:suppressLineNumbers w:val="0"/>
              <w:jc w:val="left"/>
            </w:pPr>
            <w:r>
              <w:rPr>
                <w:rFonts w:ascii="宋体" w:hAnsi="宋体" w:eastAsia="宋体" w:cs="宋体"/>
                <w:kern w:val="0"/>
                <w:sz w:val="24"/>
                <w:szCs w:val="24"/>
                <w:lang w:val="en-US" w:eastAsia="zh-CN" w:bidi="ar"/>
              </w:rPr>
              <w:t>B1、业绩</w:t>
            </w:r>
          </w:p>
        </w:tc>
        <w:tc>
          <w:tcPr>
            <w:tcW w:w="1215" w:type="dxa"/>
            <w:tcBorders>
              <w:tl2br w:val="nil"/>
              <w:tr2bl w:val="nil"/>
            </w:tcBorders>
            <w:shd w:val="clear" w:color="auto" w:fill="auto"/>
            <w:vAlign w:val="center"/>
          </w:tcPr>
          <w:p w14:paraId="6483EAB5">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84" w:type="dxa"/>
            <w:tcBorders>
              <w:tl2br w:val="nil"/>
              <w:tr2bl w:val="nil"/>
            </w:tcBorders>
            <w:shd w:val="clear" w:color="auto" w:fill="auto"/>
            <w:vAlign w:val="center"/>
          </w:tcPr>
          <w:p w14:paraId="07E1E534">
            <w:pPr>
              <w:keepNext w:val="0"/>
              <w:keepLines w:val="0"/>
              <w:widowControl/>
              <w:suppressLineNumbers w:val="0"/>
              <w:jc w:val="left"/>
            </w:pPr>
            <w:r>
              <w:rPr>
                <w:rFonts w:ascii="宋体" w:hAnsi="宋体" w:eastAsia="宋体" w:cs="宋体"/>
                <w:kern w:val="0"/>
                <w:sz w:val="24"/>
                <w:szCs w:val="24"/>
                <w:lang w:val="en-US" w:eastAsia="zh-CN" w:bidi="ar"/>
              </w:rPr>
              <w:t>根据投标人所提供的从2016年1月1日起至本次投标截止日期(日期以验收报告时间为准)在国内所完成的同类项目业绩情况进行打分，每提供一份得1分，满分3分。【投标人须列表并提供该业绩项目的中标公告（提供相关网站中标公告的下载网页并注明网址）、中标通知书复印件、采购合同文本复印件，以及能够证明该业绩项目已经采购人验收合格的相关证明文件复印件，所有材料缺一不可，否则不得分。原件备查。】</w:t>
            </w:r>
          </w:p>
        </w:tc>
      </w:tr>
      <w:tr w14:paraId="1C097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3" w:hRule="atLeast"/>
        </w:trPr>
        <w:tc>
          <w:tcPr>
            <w:tcW w:w="1101" w:type="dxa"/>
            <w:tcBorders>
              <w:tl2br w:val="nil"/>
              <w:tr2bl w:val="nil"/>
            </w:tcBorders>
            <w:shd w:val="clear" w:color="auto" w:fill="auto"/>
            <w:vAlign w:val="center"/>
          </w:tcPr>
          <w:p w14:paraId="378DECE4">
            <w:pPr>
              <w:keepNext w:val="0"/>
              <w:keepLines w:val="0"/>
              <w:widowControl/>
              <w:suppressLineNumbers w:val="0"/>
              <w:jc w:val="left"/>
            </w:pPr>
            <w:r>
              <w:rPr>
                <w:rFonts w:ascii="宋体" w:hAnsi="宋体" w:eastAsia="宋体" w:cs="宋体"/>
                <w:kern w:val="0"/>
                <w:sz w:val="24"/>
                <w:szCs w:val="24"/>
                <w:lang w:val="en-US" w:eastAsia="zh-CN" w:bidi="ar"/>
              </w:rPr>
              <w:t>B2、经营年限</w:t>
            </w:r>
          </w:p>
        </w:tc>
        <w:tc>
          <w:tcPr>
            <w:tcW w:w="1215" w:type="dxa"/>
            <w:tcBorders>
              <w:tl2br w:val="nil"/>
              <w:tr2bl w:val="nil"/>
            </w:tcBorders>
            <w:shd w:val="clear" w:color="auto" w:fill="auto"/>
            <w:vAlign w:val="center"/>
          </w:tcPr>
          <w:p w14:paraId="59EFA9AC">
            <w:pPr>
              <w:keepNext w:val="0"/>
              <w:keepLines w:val="0"/>
              <w:widowControl/>
              <w:suppressLineNumbers w:val="0"/>
              <w:jc w:val="center"/>
            </w:pPr>
            <w:r>
              <w:rPr>
                <w:rFonts w:ascii="宋体" w:hAnsi="宋体" w:eastAsia="宋体" w:cs="宋体"/>
                <w:kern w:val="0"/>
                <w:sz w:val="24"/>
                <w:szCs w:val="24"/>
                <w:lang w:val="en-US" w:eastAsia="zh-CN" w:bidi="ar"/>
              </w:rPr>
              <w:t>2</w:t>
            </w:r>
          </w:p>
        </w:tc>
        <w:tc>
          <w:tcPr>
            <w:tcW w:w="5984" w:type="dxa"/>
            <w:tcBorders>
              <w:tl2br w:val="nil"/>
              <w:tr2bl w:val="nil"/>
            </w:tcBorders>
            <w:shd w:val="clear" w:color="auto" w:fill="auto"/>
            <w:vAlign w:val="center"/>
          </w:tcPr>
          <w:p w14:paraId="6BABB9BD">
            <w:pPr>
              <w:keepNext w:val="0"/>
              <w:keepLines w:val="0"/>
              <w:widowControl/>
              <w:suppressLineNumbers w:val="0"/>
              <w:jc w:val="left"/>
            </w:pPr>
            <w:r>
              <w:rPr>
                <w:rFonts w:ascii="宋体" w:hAnsi="宋体" w:eastAsia="宋体" w:cs="宋体"/>
                <w:kern w:val="0"/>
                <w:sz w:val="24"/>
                <w:szCs w:val="24"/>
                <w:lang w:val="en-US" w:eastAsia="zh-CN" w:bidi="ar"/>
              </w:rPr>
              <w:t>根据投标人经营年限(以营业执照为准)进行评分：投标人经营年限大于10年的，每增加1年得1分。（满分2分）注：须提供营业执照复印件，否则不得分。</w:t>
            </w:r>
          </w:p>
        </w:tc>
      </w:tr>
      <w:tr w14:paraId="36122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94" w:hRule="atLeast"/>
        </w:trPr>
        <w:tc>
          <w:tcPr>
            <w:tcW w:w="1101" w:type="dxa"/>
            <w:tcBorders>
              <w:tl2br w:val="nil"/>
              <w:tr2bl w:val="nil"/>
            </w:tcBorders>
            <w:shd w:val="clear" w:color="auto" w:fill="auto"/>
            <w:vAlign w:val="center"/>
          </w:tcPr>
          <w:p w14:paraId="066A5DF2">
            <w:pPr>
              <w:keepNext w:val="0"/>
              <w:keepLines w:val="0"/>
              <w:widowControl/>
              <w:suppressLineNumbers w:val="0"/>
              <w:jc w:val="left"/>
            </w:pPr>
            <w:r>
              <w:rPr>
                <w:rFonts w:ascii="宋体" w:hAnsi="宋体" w:eastAsia="宋体" w:cs="宋体"/>
                <w:kern w:val="0"/>
                <w:sz w:val="24"/>
                <w:szCs w:val="24"/>
                <w:lang w:val="en-US" w:eastAsia="zh-CN" w:bidi="ar"/>
              </w:rPr>
              <w:t>B3、售后服务</w:t>
            </w:r>
          </w:p>
        </w:tc>
        <w:tc>
          <w:tcPr>
            <w:tcW w:w="1215" w:type="dxa"/>
            <w:tcBorders>
              <w:tl2br w:val="nil"/>
              <w:tr2bl w:val="nil"/>
            </w:tcBorders>
            <w:shd w:val="clear" w:color="auto" w:fill="auto"/>
            <w:vAlign w:val="center"/>
          </w:tcPr>
          <w:p w14:paraId="2A6D3625">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84" w:type="dxa"/>
            <w:tcBorders>
              <w:tl2br w:val="nil"/>
              <w:tr2bl w:val="nil"/>
            </w:tcBorders>
            <w:shd w:val="clear" w:color="auto" w:fill="auto"/>
            <w:vAlign w:val="center"/>
          </w:tcPr>
          <w:p w14:paraId="270F8ECF">
            <w:pPr>
              <w:keepNext w:val="0"/>
              <w:keepLines w:val="0"/>
              <w:widowControl/>
              <w:suppressLineNumbers w:val="0"/>
              <w:jc w:val="left"/>
            </w:pPr>
            <w:r>
              <w:rPr>
                <w:rFonts w:ascii="宋体" w:hAnsi="宋体" w:eastAsia="宋体" w:cs="宋体"/>
                <w:kern w:val="0"/>
                <w:sz w:val="24"/>
                <w:szCs w:val="24"/>
                <w:lang w:val="en-US" w:eastAsia="zh-CN" w:bidi="ar"/>
              </w:rPr>
              <w:t>根据投标人提供的售后服务承诺、反馈方式，维护响应时间、响应方式等情况进行评分，售后服务承诺优于招标文件，响应时间短，响应方式多样的得3分，售后服务承诺较好，售后服务响应内容一般的的1分；未提供任何售后服务承诺的得0分。</w:t>
            </w:r>
          </w:p>
        </w:tc>
      </w:tr>
      <w:tr w14:paraId="1891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5" w:hRule="atLeast"/>
        </w:trPr>
        <w:tc>
          <w:tcPr>
            <w:tcW w:w="1101" w:type="dxa"/>
            <w:tcBorders>
              <w:tl2br w:val="nil"/>
              <w:tr2bl w:val="nil"/>
            </w:tcBorders>
            <w:shd w:val="clear" w:color="auto" w:fill="auto"/>
            <w:vAlign w:val="center"/>
          </w:tcPr>
          <w:p w14:paraId="7587EC52">
            <w:pPr>
              <w:keepNext w:val="0"/>
              <w:keepLines w:val="0"/>
              <w:widowControl/>
              <w:suppressLineNumbers w:val="0"/>
              <w:jc w:val="left"/>
            </w:pPr>
            <w:r>
              <w:rPr>
                <w:rFonts w:ascii="宋体" w:hAnsi="宋体" w:eastAsia="宋体" w:cs="宋体"/>
                <w:kern w:val="0"/>
                <w:sz w:val="24"/>
                <w:szCs w:val="24"/>
                <w:lang w:val="en-US" w:eastAsia="zh-CN" w:bidi="ar"/>
              </w:rPr>
              <w:t>B4-1、综合实力</w:t>
            </w:r>
          </w:p>
        </w:tc>
        <w:tc>
          <w:tcPr>
            <w:tcW w:w="1215" w:type="dxa"/>
            <w:tcBorders>
              <w:tl2br w:val="nil"/>
              <w:tr2bl w:val="nil"/>
            </w:tcBorders>
            <w:shd w:val="clear" w:color="auto" w:fill="auto"/>
            <w:vAlign w:val="center"/>
          </w:tcPr>
          <w:p w14:paraId="704B423F">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84" w:type="dxa"/>
            <w:tcBorders>
              <w:tl2br w:val="nil"/>
              <w:tr2bl w:val="nil"/>
            </w:tcBorders>
            <w:shd w:val="clear" w:color="auto" w:fill="auto"/>
            <w:vAlign w:val="center"/>
          </w:tcPr>
          <w:p w14:paraId="0F95FB84">
            <w:pPr>
              <w:keepNext w:val="0"/>
              <w:keepLines w:val="0"/>
              <w:widowControl/>
              <w:suppressLineNumbers w:val="0"/>
              <w:jc w:val="left"/>
            </w:pPr>
            <w:r>
              <w:rPr>
                <w:rFonts w:ascii="宋体" w:hAnsi="宋体" w:eastAsia="宋体" w:cs="宋体"/>
                <w:kern w:val="0"/>
                <w:sz w:val="24"/>
                <w:szCs w:val="24"/>
                <w:lang w:val="en-US" w:eastAsia="zh-CN" w:bidi="ar"/>
              </w:rPr>
              <w:t>根据投标人具有有效期内的ISO9001质量管理体系认证、ISO14001环境管理体系认证、职业健康安全管理体系认证的，每提供一项得1分，满分3分，未获认证或认证无效的不得分。投标人须同时提供有效证书复印件和全国认证认可信息公共服务平台（http://cx.cnca.cn）的查询结果“有效”的截图或网页打印件，并注明网址。</w:t>
            </w:r>
          </w:p>
        </w:tc>
      </w:tr>
      <w:tr w14:paraId="3801A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2" w:hRule="atLeast"/>
        </w:trPr>
        <w:tc>
          <w:tcPr>
            <w:tcW w:w="1101" w:type="dxa"/>
            <w:tcBorders>
              <w:tl2br w:val="nil"/>
              <w:tr2bl w:val="nil"/>
            </w:tcBorders>
            <w:shd w:val="clear" w:color="auto" w:fill="auto"/>
            <w:vAlign w:val="center"/>
          </w:tcPr>
          <w:p w14:paraId="5270616F">
            <w:pPr>
              <w:keepNext w:val="0"/>
              <w:keepLines w:val="0"/>
              <w:widowControl/>
              <w:suppressLineNumbers w:val="0"/>
              <w:jc w:val="left"/>
            </w:pPr>
            <w:r>
              <w:rPr>
                <w:rFonts w:ascii="宋体" w:hAnsi="宋体" w:eastAsia="宋体" w:cs="宋体"/>
                <w:kern w:val="0"/>
                <w:sz w:val="24"/>
                <w:szCs w:val="24"/>
                <w:lang w:val="en-US" w:eastAsia="zh-CN" w:bidi="ar"/>
              </w:rPr>
              <w:t>B4-2、综合实力</w:t>
            </w:r>
          </w:p>
        </w:tc>
        <w:tc>
          <w:tcPr>
            <w:tcW w:w="1215" w:type="dxa"/>
            <w:tcBorders>
              <w:tl2br w:val="nil"/>
              <w:tr2bl w:val="nil"/>
            </w:tcBorders>
            <w:shd w:val="clear" w:color="auto" w:fill="auto"/>
            <w:vAlign w:val="center"/>
          </w:tcPr>
          <w:p w14:paraId="004DBF84">
            <w:pPr>
              <w:keepNext w:val="0"/>
              <w:keepLines w:val="0"/>
              <w:widowControl/>
              <w:suppressLineNumbers w:val="0"/>
              <w:jc w:val="center"/>
            </w:pPr>
            <w:r>
              <w:rPr>
                <w:rFonts w:ascii="宋体" w:hAnsi="宋体" w:eastAsia="宋体" w:cs="宋体"/>
                <w:kern w:val="0"/>
                <w:sz w:val="24"/>
                <w:szCs w:val="24"/>
                <w:lang w:val="en-US" w:eastAsia="zh-CN" w:bidi="ar"/>
              </w:rPr>
              <w:t>1</w:t>
            </w:r>
          </w:p>
        </w:tc>
        <w:tc>
          <w:tcPr>
            <w:tcW w:w="5984" w:type="dxa"/>
            <w:tcBorders>
              <w:tl2br w:val="nil"/>
              <w:tr2bl w:val="nil"/>
            </w:tcBorders>
            <w:shd w:val="clear" w:color="auto" w:fill="auto"/>
            <w:vAlign w:val="center"/>
          </w:tcPr>
          <w:p w14:paraId="66017D77">
            <w:pPr>
              <w:keepNext w:val="0"/>
              <w:keepLines w:val="0"/>
              <w:widowControl/>
              <w:suppressLineNumbers w:val="0"/>
              <w:jc w:val="left"/>
            </w:pPr>
            <w:r>
              <w:rPr>
                <w:rFonts w:ascii="宋体" w:hAnsi="宋体" w:eastAsia="宋体" w:cs="宋体"/>
                <w:kern w:val="0"/>
                <w:sz w:val="24"/>
                <w:szCs w:val="24"/>
                <w:lang w:val="en-US" w:eastAsia="zh-CN" w:bidi="ar"/>
              </w:rPr>
              <w:t>投标人获得第三方认证机构颁发的AAA级企业信用等级证书的得1分。（须提供复印件并加盖公章，原件备查）</w:t>
            </w:r>
          </w:p>
        </w:tc>
      </w:tr>
      <w:tr w14:paraId="3DE8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3" w:hRule="atLeast"/>
        </w:trPr>
        <w:tc>
          <w:tcPr>
            <w:tcW w:w="1101" w:type="dxa"/>
            <w:tcBorders>
              <w:tl2br w:val="nil"/>
              <w:tr2bl w:val="nil"/>
            </w:tcBorders>
            <w:shd w:val="clear" w:color="auto" w:fill="auto"/>
            <w:vAlign w:val="center"/>
          </w:tcPr>
          <w:p w14:paraId="5A626725">
            <w:pPr>
              <w:keepNext w:val="0"/>
              <w:keepLines w:val="0"/>
              <w:widowControl/>
              <w:suppressLineNumbers w:val="0"/>
              <w:jc w:val="left"/>
            </w:pPr>
            <w:r>
              <w:rPr>
                <w:rFonts w:ascii="宋体" w:hAnsi="宋体" w:eastAsia="宋体" w:cs="宋体"/>
                <w:kern w:val="0"/>
                <w:sz w:val="24"/>
                <w:szCs w:val="24"/>
                <w:lang w:val="en-US" w:eastAsia="zh-CN" w:bidi="ar"/>
              </w:rPr>
              <w:t>B4-3、综合实力</w:t>
            </w:r>
          </w:p>
        </w:tc>
        <w:tc>
          <w:tcPr>
            <w:tcW w:w="1215" w:type="dxa"/>
            <w:tcBorders>
              <w:tl2br w:val="nil"/>
              <w:tr2bl w:val="nil"/>
            </w:tcBorders>
            <w:shd w:val="clear" w:color="auto" w:fill="auto"/>
            <w:vAlign w:val="center"/>
          </w:tcPr>
          <w:p w14:paraId="127BDF63">
            <w:pPr>
              <w:keepNext w:val="0"/>
              <w:keepLines w:val="0"/>
              <w:widowControl/>
              <w:suppressLineNumbers w:val="0"/>
              <w:jc w:val="center"/>
            </w:pPr>
            <w:r>
              <w:rPr>
                <w:rFonts w:ascii="宋体" w:hAnsi="宋体" w:eastAsia="宋体" w:cs="宋体"/>
                <w:kern w:val="0"/>
                <w:sz w:val="24"/>
                <w:szCs w:val="24"/>
                <w:lang w:val="en-US" w:eastAsia="zh-CN" w:bidi="ar"/>
              </w:rPr>
              <w:t>1</w:t>
            </w:r>
          </w:p>
        </w:tc>
        <w:tc>
          <w:tcPr>
            <w:tcW w:w="5984" w:type="dxa"/>
            <w:tcBorders>
              <w:tl2br w:val="nil"/>
              <w:tr2bl w:val="nil"/>
            </w:tcBorders>
            <w:shd w:val="clear" w:color="auto" w:fill="auto"/>
            <w:vAlign w:val="center"/>
          </w:tcPr>
          <w:p w14:paraId="147E3FDE">
            <w:pPr>
              <w:keepNext w:val="0"/>
              <w:keepLines w:val="0"/>
              <w:widowControl/>
              <w:suppressLineNumbers w:val="0"/>
              <w:jc w:val="left"/>
            </w:pPr>
            <w:r>
              <w:rPr>
                <w:rFonts w:ascii="宋体" w:hAnsi="宋体" w:eastAsia="宋体" w:cs="宋体"/>
                <w:kern w:val="0"/>
                <w:sz w:val="24"/>
                <w:szCs w:val="24"/>
                <w:lang w:val="en-US" w:eastAsia="zh-CN" w:bidi="ar"/>
              </w:rPr>
              <w:t>投标人获得省级或以上政府部门、工商部门或者第三方认证机构颁发的 “重合同守信用”证书的得1分，（须提供复印件并加盖公章，原件备查）。</w:t>
            </w:r>
          </w:p>
        </w:tc>
      </w:tr>
      <w:tr w14:paraId="25DB2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5" w:hRule="atLeast"/>
        </w:trPr>
        <w:tc>
          <w:tcPr>
            <w:tcW w:w="1101" w:type="dxa"/>
            <w:tcBorders>
              <w:tl2br w:val="nil"/>
              <w:tr2bl w:val="nil"/>
            </w:tcBorders>
            <w:shd w:val="clear" w:color="auto" w:fill="auto"/>
            <w:vAlign w:val="center"/>
          </w:tcPr>
          <w:p w14:paraId="6BDFAE4F">
            <w:pPr>
              <w:keepNext w:val="0"/>
              <w:keepLines w:val="0"/>
              <w:widowControl/>
              <w:suppressLineNumbers w:val="0"/>
              <w:jc w:val="left"/>
            </w:pPr>
            <w:r>
              <w:rPr>
                <w:rFonts w:ascii="宋体" w:hAnsi="宋体" w:eastAsia="宋体" w:cs="宋体"/>
                <w:kern w:val="0"/>
                <w:sz w:val="24"/>
                <w:szCs w:val="24"/>
                <w:lang w:val="en-US" w:eastAsia="zh-CN" w:bidi="ar"/>
              </w:rPr>
              <w:t>B4-4、综合实力</w:t>
            </w:r>
          </w:p>
        </w:tc>
        <w:tc>
          <w:tcPr>
            <w:tcW w:w="1215" w:type="dxa"/>
            <w:tcBorders>
              <w:tl2br w:val="nil"/>
              <w:tr2bl w:val="nil"/>
            </w:tcBorders>
            <w:shd w:val="clear" w:color="auto" w:fill="auto"/>
            <w:vAlign w:val="center"/>
          </w:tcPr>
          <w:p w14:paraId="0C02F716">
            <w:pPr>
              <w:keepNext w:val="0"/>
              <w:keepLines w:val="0"/>
              <w:widowControl/>
              <w:suppressLineNumbers w:val="0"/>
              <w:jc w:val="center"/>
            </w:pPr>
            <w:r>
              <w:rPr>
                <w:rFonts w:ascii="宋体" w:hAnsi="宋体" w:eastAsia="宋体" w:cs="宋体"/>
                <w:kern w:val="0"/>
                <w:sz w:val="24"/>
                <w:szCs w:val="24"/>
                <w:lang w:val="en-US" w:eastAsia="zh-CN" w:bidi="ar"/>
              </w:rPr>
              <w:t>2</w:t>
            </w:r>
          </w:p>
        </w:tc>
        <w:tc>
          <w:tcPr>
            <w:tcW w:w="5984" w:type="dxa"/>
            <w:tcBorders>
              <w:tl2br w:val="nil"/>
              <w:tr2bl w:val="nil"/>
            </w:tcBorders>
            <w:shd w:val="clear" w:color="auto" w:fill="auto"/>
            <w:vAlign w:val="center"/>
          </w:tcPr>
          <w:p w14:paraId="3A0861B8">
            <w:pPr>
              <w:keepNext w:val="0"/>
              <w:keepLines w:val="0"/>
              <w:widowControl/>
              <w:suppressLineNumbers w:val="0"/>
              <w:jc w:val="left"/>
            </w:pPr>
            <w:r>
              <w:rPr>
                <w:rFonts w:ascii="宋体" w:hAnsi="宋体" w:eastAsia="宋体" w:cs="宋体"/>
                <w:kern w:val="0"/>
                <w:sz w:val="24"/>
                <w:szCs w:val="24"/>
                <w:lang w:val="en-US" w:eastAsia="zh-CN" w:bidi="ar"/>
              </w:rPr>
              <w:t>投标人被收录为民政部救灾司、国家减灾中心编制的《自然灾害应急救助物资生产商参考名录（2019版）》的得2分。注：须提供相关证明材料，否则不得分。（满分2分）</w:t>
            </w:r>
          </w:p>
        </w:tc>
      </w:tr>
    </w:tbl>
    <w:p w14:paraId="7AAB578A">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3CB810B">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DBFC893">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FF124AB">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④加分项（</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w:t>
      </w:r>
    </w:p>
    <w:p w14:paraId="568ACFC3">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a.优先类节能产品、环境标志产品：</w:t>
      </w:r>
    </w:p>
    <w:p w14:paraId="6E94DFA3">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20%</w:t>
      </w:r>
      <w:r>
        <w:rPr>
          <w:rFonts w:hint="eastAsia" w:ascii="宋体" w:hAnsi="宋体" w:eastAsia="宋体" w:cs="宋体"/>
          <w:sz w:val="24"/>
          <w:szCs w:val="24"/>
        </w:rPr>
        <w:t>（含</w:t>
      </w:r>
      <w:r>
        <w:rPr>
          <w:rFonts w:hint="default" w:ascii="Calibri" w:hAnsi="Calibri" w:eastAsia="宋体" w:cs="Calibri"/>
          <w:sz w:val="24"/>
          <w:szCs w:val="24"/>
        </w:rPr>
        <w:t>20%</w:t>
      </w:r>
      <w:r>
        <w:rPr>
          <w:rFonts w:hint="eastAsia" w:ascii="宋体" w:hAnsi="宋体" w:eastAsia="宋体" w:cs="宋体"/>
          <w:sz w:val="24"/>
          <w:szCs w:val="24"/>
        </w:rPr>
        <w:t>）以下，将分别给予节能、环境标志产品价格项（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4%</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20%-50%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6%</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50%</w:t>
      </w:r>
      <w:r>
        <w:rPr>
          <w:rFonts w:hint="eastAsia" w:ascii="宋体" w:hAnsi="宋体" w:eastAsia="宋体" w:cs="宋体"/>
          <w:sz w:val="24"/>
          <w:szCs w:val="24"/>
        </w:rPr>
        <w:t>以上的，将分别给予节能、环境标志产品价格项（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8%</w:t>
      </w:r>
      <w:r>
        <w:rPr>
          <w:rFonts w:hint="eastAsia" w:ascii="宋体" w:hAnsi="宋体" w:eastAsia="宋体" w:cs="宋体"/>
          <w:sz w:val="24"/>
          <w:szCs w:val="24"/>
        </w:rPr>
        <w:t>的加分。</w:t>
      </w:r>
    </w:p>
    <w:p w14:paraId="0175D272">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a2若节能、环境标志产品仅是构成投标产品的部件、组件或零件，则该投标产品不享受鼓励优惠政策。同一品目中各认证证书不重复计算加分。强制类节能产品不享受加分。</w:t>
      </w:r>
    </w:p>
    <w:tbl>
      <w:tblPr>
        <w:tblStyle w:val="6"/>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13"/>
        <w:gridCol w:w="1153"/>
        <w:gridCol w:w="6150"/>
      </w:tblGrid>
      <w:tr w14:paraId="3A8D9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1013" w:type="dxa"/>
            <w:tcBorders>
              <w:tl2br w:val="nil"/>
              <w:tr2bl w:val="nil"/>
            </w:tcBorders>
            <w:shd w:val="clear" w:color="auto" w:fill="auto"/>
            <w:vAlign w:val="center"/>
          </w:tcPr>
          <w:p w14:paraId="4B2D652D">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153" w:type="dxa"/>
            <w:tcBorders>
              <w:tl2br w:val="nil"/>
              <w:tr2bl w:val="nil"/>
            </w:tcBorders>
            <w:shd w:val="clear" w:color="auto" w:fill="auto"/>
            <w:vAlign w:val="center"/>
          </w:tcPr>
          <w:p w14:paraId="4A15892B">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150" w:type="dxa"/>
            <w:tcBorders>
              <w:tl2br w:val="nil"/>
              <w:tr2bl w:val="nil"/>
            </w:tcBorders>
            <w:shd w:val="clear" w:color="auto" w:fill="auto"/>
            <w:vAlign w:val="center"/>
          </w:tcPr>
          <w:p w14:paraId="67F9124F">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0B5A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013" w:type="dxa"/>
            <w:tcBorders>
              <w:tl2br w:val="nil"/>
              <w:tr2bl w:val="nil"/>
            </w:tcBorders>
            <w:shd w:val="clear" w:color="auto" w:fill="auto"/>
            <w:vAlign w:val="center"/>
          </w:tcPr>
          <w:p w14:paraId="326D9DDB">
            <w:pPr>
              <w:keepNext w:val="0"/>
              <w:keepLines w:val="0"/>
              <w:widowControl/>
              <w:suppressLineNumbers w:val="0"/>
              <w:jc w:val="left"/>
            </w:pPr>
            <w:r>
              <w:rPr>
                <w:rFonts w:ascii="宋体" w:hAnsi="宋体" w:eastAsia="宋体" w:cs="宋体"/>
                <w:kern w:val="0"/>
                <w:sz w:val="24"/>
                <w:szCs w:val="24"/>
                <w:lang w:val="en-US" w:eastAsia="zh-CN" w:bidi="ar"/>
              </w:rPr>
              <w:t>节能、减排、环境标志产品部分</w:t>
            </w:r>
          </w:p>
        </w:tc>
        <w:tc>
          <w:tcPr>
            <w:tcW w:w="1153" w:type="dxa"/>
            <w:tcBorders>
              <w:tl2br w:val="nil"/>
              <w:tr2bl w:val="nil"/>
            </w:tcBorders>
            <w:shd w:val="clear" w:color="auto" w:fill="auto"/>
            <w:vAlign w:val="center"/>
          </w:tcPr>
          <w:p w14:paraId="02772DD1">
            <w:pPr>
              <w:keepNext w:val="0"/>
              <w:keepLines w:val="0"/>
              <w:widowControl/>
              <w:suppressLineNumbers w:val="0"/>
              <w:jc w:val="center"/>
            </w:pPr>
            <w:r>
              <w:rPr>
                <w:rFonts w:ascii="宋体" w:hAnsi="宋体" w:eastAsia="宋体" w:cs="宋体"/>
                <w:kern w:val="0"/>
                <w:sz w:val="24"/>
                <w:szCs w:val="24"/>
                <w:lang w:val="en-US" w:eastAsia="zh-CN" w:bidi="ar"/>
              </w:rPr>
              <w:t>6.8</w:t>
            </w:r>
          </w:p>
        </w:tc>
        <w:tc>
          <w:tcPr>
            <w:tcW w:w="6150" w:type="dxa"/>
            <w:tcBorders>
              <w:tl2br w:val="nil"/>
              <w:tr2bl w:val="nil"/>
            </w:tcBorders>
            <w:shd w:val="clear" w:color="auto" w:fill="auto"/>
            <w:vAlign w:val="center"/>
          </w:tcPr>
          <w:p w14:paraId="7D2B58BA">
            <w:pPr>
              <w:keepNext w:val="0"/>
              <w:keepLines w:val="0"/>
              <w:widowControl/>
              <w:suppressLineNumbers w:val="0"/>
              <w:jc w:val="left"/>
            </w:pPr>
            <w:r>
              <w:rPr>
                <w:rFonts w:ascii="宋体" w:hAnsi="宋体" w:eastAsia="宋体" w:cs="宋体"/>
                <w:kern w:val="0"/>
                <w:sz w:val="24"/>
                <w:szCs w:val="24"/>
                <w:lang w:val="en-US" w:eastAsia="zh-CN" w:bidi="ar"/>
              </w:rPr>
              <w:t>（1）根据《国务院办公厅关于建立政府强制采购节能产品制度的通知》(国办发[2007]51号)和财政部、发展改革委发布的《节能产品政府采购实施意见》(财库[2004]185号)以及《财政部、国家发展改革委关于调整节能产品政府采购清单的通知》财库〔2017〕129号的规定，节能清单中的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为政府强制采购的节能产品(具体品目以“★”标注)，本次采购货物中属政府强制采购节能产品的，投标人所投产品必须是财政部、国家发展改革委公示的《节能产品政府采购清单》内产品，并提供产品的证明资料复印件加盖投标人公章，否则投标无效。 (2)节能(非强制类产品)、减排、环境标志产品评审优惠内容及幅度如下： ①、若同一合同包内的节能(非强制类产品)、减排、环境标志产品报价总金额低于本合同包报价总金额20%(含20%)以下的，将分别给予节能、减排、环境标志产品价格评标项和技术评标项标准总分值4％的加分； ②、若同一合同包内节能(非强制类产品)、减排、环境标志产品报价总金额占本合同包报价总金额20%-50%(含50%)的，将分别给予节能、减排、环境标志产品在价格评标项和技术评标项标准总分值6％的加分； ③、若同一合同包内节能(非强制类产品)、减排、环境标志产品报价总金额占本合同包报价总金额50%以上的，将分别给予节能、减排、环境标志产品在价格评标项和技术评标项标准总分值8％的加分。 注：本次政府采购活动已经开展但尚未进入评审环节的，执行本期和下期节能清单。对于同时列入财政部、环境保护部公示的《环境标志产品政府采购清单》和财政部、国家发展改革委公示的《节能产品政府采购清单》的产品，应当优先于只获得其中一项认证的产品。 投标人在投标时必须对属于节能、减排、环境标志产品单独在节能（非强制类）、环境标志产品统计表中填写，并提供产品的证明资料复印件附在报价部分(电子证明资料应上传在对应评分模块)且加盖投标人公章。未单独分项报价或未按规定提供产品的证明资料的不给予加分。投标产品属于节能、减排、环境标志清单内产品的，可享受相关的鼓励优惠政策；若节能、减排、环境标志清单内的产品仅是构成投标产品的部件、组件或零件的，则该投标产品不享受鼓励优惠政策。评标委员会审查此项响应性只根据投标文件本身的内容，而不寻求其他的外部证据。</w:t>
            </w:r>
          </w:p>
        </w:tc>
      </w:tr>
    </w:tbl>
    <w:p w14:paraId="1FC957BE">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（4）中标候选人排列规则顺序如下：</w:t>
      </w:r>
    </w:p>
    <w:p w14:paraId="18949DB5">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a.按照评标总得分（</w:t>
      </w:r>
      <w:r>
        <w:rPr>
          <w:rFonts w:hint="default" w:ascii="Calibri" w:hAnsi="Calibri" w:eastAsia="宋体" w:cs="Calibri"/>
          <w:sz w:val="24"/>
          <w:szCs w:val="24"/>
        </w:rPr>
        <w:t>FA</w:t>
      </w:r>
      <w:r>
        <w:rPr>
          <w:rFonts w:hint="eastAsia" w:ascii="宋体" w:hAnsi="宋体" w:eastAsia="宋体" w:cs="宋体"/>
          <w:sz w:val="24"/>
          <w:szCs w:val="24"/>
        </w:rPr>
        <w:t>）由高到低顺序排列。</w:t>
      </w:r>
    </w:p>
    <w:p w14:paraId="07C01727">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b.评标总得分（</w:t>
      </w:r>
      <w:r>
        <w:rPr>
          <w:rFonts w:hint="default" w:ascii="Calibri" w:hAnsi="Calibri" w:eastAsia="宋体" w:cs="Calibri"/>
          <w:sz w:val="24"/>
          <w:szCs w:val="24"/>
        </w:rPr>
        <w:t>FA</w:t>
      </w:r>
      <w:r>
        <w:rPr>
          <w:rFonts w:hint="eastAsia" w:ascii="宋体" w:hAnsi="宋体" w:eastAsia="宋体" w:cs="宋体"/>
          <w:sz w:val="24"/>
          <w:szCs w:val="24"/>
        </w:rPr>
        <w:t>）相同的，按照评标价（即价格扣除后的投标报价）由低到高顺序排列。</w:t>
      </w:r>
    </w:p>
    <w:p w14:paraId="08A09BE4">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c.评标总得分（</w:t>
      </w:r>
      <w:r>
        <w:rPr>
          <w:rFonts w:hint="default" w:ascii="Calibri" w:hAnsi="Calibri" w:eastAsia="宋体" w:cs="Calibri"/>
          <w:sz w:val="24"/>
          <w:szCs w:val="24"/>
        </w:rPr>
        <w:t>FA</w:t>
      </w:r>
      <w:r>
        <w:rPr>
          <w:rFonts w:hint="eastAsia" w:ascii="宋体" w:hAnsi="宋体" w:eastAsia="宋体" w:cs="宋体"/>
          <w:sz w:val="24"/>
          <w:szCs w:val="24"/>
        </w:rPr>
        <w:t>）且评标价（即价格扣除后的投标报价）相同的并列。</w:t>
      </w:r>
    </w:p>
    <w:p w14:paraId="6C1D0D69">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13507992">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7ACF9B89">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54CB71CB">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3B91A62D">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706F2350">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64E96027">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7EEF3E5E">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7D57EE63">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59DC2512">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48645EC6">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7E017A29">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0C50AF2F">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03796A9D">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397D6749">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2DD09F55">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0CCF9DA0">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61100BDE">
      <w:pPr>
        <w:pStyle w:val="5"/>
        <w:keepNext w:val="0"/>
        <w:keepLines w:val="0"/>
        <w:widowControl/>
        <w:suppressLineNumbers w:val="0"/>
        <w:shd w:val="clear" w:fill="FFFFFF"/>
        <w:spacing w:before="0" w:beforeAutospacing="0" w:after="150" w:afterAutospacing="0"/>
        <w:ind w:left="0" w:right="0"/>
        <w:rPr>
          <w:rFonts w:hint="eastAsia" w:ascii="微软雅黑" w:hAnsi="微软雅黑" w:eastAsia="微软雅黑" w:cs="微软雅黑"/>
          <w:color w:val="393939"/>
          <w:sz w:val="19"/>
          <w:szCs w:val="19"/>
        </w:rPr>
      </w:pPr>
      <w:r>
        <w:rPr>
          <w:rStyle w:val="8"/>
          <w:rFonts w:hint="eastAsia" w:ascii="宋体" w:hAnsi="宋体" w:eastAsia="宋体" w:cs="宋体"/>
          <w:b/>
          <w:color w:val="393939"/>
          <w:sz w:val="24"/>
          <w:szCs w:val="24"/>
          <w:shd w:val="clear" w:fill="FFFFFF"/>
        </w:rPr>
        <w:t>合同包4采用综合评分法</w:t>
      </w:r>
      <w:r>
        <w:rPr>
          <w:rFonts w:hint="eastAsia" w:ascii="宋体" w:hAnsi="宋体" w:eastAsia="宋体" w:cs="宋体"/>
          <w:color w:val="393939"/>
          <w:sz w:val="24"/>
          <w:szCs w:val="24"/>
          <w:shd w:val="clear" w:fill="FFFFFF"/>
        </w:rPr>
        <w:t>：</w:t>
      </w:r>
    </w:p>
    <w:p w14:paraId="66B3C73A">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（1）投标文件满足招标文件全部实质性要求，且按照评审因素的量化指标评审得分（即评标总得分）最高的投标人为中标候选人。</w:t>
      </w:r>
    </w:p>
    <w:p w14:paraId="1B462213">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（2）每个投标人的评标总得分</w:t>
      </w:r>
      <w:r>
        <w:rPr>
          <w:rFonts w:hint="default" w:ascii="Calibri" w:hAnsi="Calibri" w:eastAsia="宋体" w:cs="Calibri"/>
          <w:sz w:val="24"/>
          <w:szCs w:val="24"/>
        </w:rPr>
        <w:t>FA</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（若有），其中：</w:t>
      </w:r>
      <w:r>
        <w:rPr>
          <w:rFonts w:hint="default" w:ascii="Calibri" w:hAnsi="Calibri" w:eastAsia="宋体" w:cs="Calibri"/>
          <w:sz w:val="24"/>
          <w:szCs w:val="24"/>
        </w:rPr>
        <w:t>F1</w:t>
      </w:r>
      <w:r>
        <w:rPr>
          <w:rFonts w:hint="eastAsia" w:ascii="宋体" w:hAnsi="宋体" w:eastAsia="宋体" w:cs="宋体"/>
          <w:sz w:val="24"/>
          <w:szCs w:val="24"/>
        </w:rPr>
        <w:t>指价格项评审因素得分、</w:t>
      </w:r>
      <w:r>
        <w:rPr>
          <w:rFonts w:hint="default" w:ascii="Calibri" w:hAnsi="Calibri" w:eastAsia="宋体" w:cs="Calibri"/>
          <w:sz w:val="24"/>
          <w:szCs w:val="24"/>
        </w:rPr>
        <w:t>F2</w:t>
      </w:r>
      <w:r>
        <w:rPr>
          <w:rFonts w:hint="eastAsia" w:ascii="宋体" w:hAnsi="宋体" w:eastAsia="宋体" w:cs="宋体"/>
          <w:sz w:val="24"/>
          <w:szCs w:val="24"/>
        </w:rPr>
        <w:t>指技术项评审因素得分、</w:t>
      </w:r>
      <w:r>
        <w:rPr>
          <w:rFonts w:hint="default" w:ascii="Calibri" w:hAnsi="Calibri" w:eastAsia="宋体" w:cs="Calibri"/>
          <w:sz w:val="24"/>
          <w:szCs w:val="24"/>
        </w:rPr>
        <w:t>F3</w:t>
      </w:r>
      <w:r>
        <w:rPr>
          <w:rFonts w:hint="eastAsia" w:ascii="宋体" w:hAnsi="宋体" w:eastAsia="宋体" w:cs="宋体"/>
          <w:sz w:val="24"/>
          <w:szCs w:val="24"/>
        </w:rPr>
        <w:t>指商务项评审因素得分，</w:t>
      </w:r>
      <w:r>
        <w:rPr>
          <w:rFonts w:hint="default" w:ascii="Calibri" w:hAnsi="Calibri" w:eastAsia="宋体" w:cs="Calibri"/>
          <w:sz w:val="24"/>
          <w:szCs w:val="24"/>
        </w:rPr>
        <w:t>A1</w:t>
      </w:r>
      <w:r>
        <w:rPr>
          <w:rFonts w:hint="eastAsia" w:ascii="宋体" w:hAnsi="宋体" w:eastAsia="宋体" w:cs="宋体"/>
          <w:sz w:val="24"/>
          <w:szCs w:val="24"/>
        </w:rPr>
        <w:t>指价格项评审因素所占的权重、</w:t>
      </w:r>
      <w:r>
        <w:rPr>
          <w:rFonts w:hint="default" w:ascii="Calibri" w:hAnsi="Calibri" w:eastAsia="宋体" w:cs="Calibri"/>
          <w:sz w:val="24"/>
          <w:szCs w:val="24"/>
        </w:rPr>
        <w:t>A2</w:t>
      </w:r>
      <w:r>
        <w:rPr>
          <w:rFonts w:hint="eastAsia" w:ascii="宋体" w:hAnsi="宋体" w:eastAsia="宋体" w:cs="宋体"/>
          <w:sz w:val="24"/>
          <w:szCs w:val="24"/>
        </w:rPr>
        <w:t>指技术项评审因素所占的权重、</w:t>
      </w:r>
      <w:r>
        <w:rPr>
          <w:rFonts w:hint="default" w:ascii="Calibri" w:hAnsi="Calibri" w:eastAsia="宋体" w:cs="Calibri"/>
          <w:sz w:val="24"/>
          <w:szCs w:val="24"/>
        </w:rPr>
        <w:t>A3</w:t>
      </w:r>
      <w:r>
        <w:rPr>
          <w:rFonts w:hint="eastAsia" w:ascii="宋体" w:hAnsi="宋体" w:eastAsia="宋体" w:cs="宋体"/>
          <w:sz w:val="24"/>
          <w:szCs w:val="24"/>
        </w:rPr>
        <w:t>指商务项评审因素所占的权重，</w:t>
      </w:r>
      <w:r>
        <w:rPr>
          <w:rFonts w:hint="default" w:ascii="Calibri" w:hAnsi="Calibri" w:eastAsia="宋体" w:cs="Calibri"/>
          <w:sz w:val="24"/>
          <w:szCs w:val="24"/>
        </w:rPr>
        <w:t>A1+A2+A3=1</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A3=100</w:t>
      </w:r>
      <w:r>
        <w:rPr>
          <w:rFonts w:hint="eastAsia" w:ascii="宋体" w:hAnsi="宋体" w:eastAsia="宋体" w:cs="宋体"/>
          <w:sz w:val="24"/>
          <w:szCs w:val="24"/>
        </w:rPr>
        <w:t>分（满分时），</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为加分项（即优先类节能产品、环境标志产品在采购活动中可享有的加分优惠）。</w:t>
      </w:r>
    </w:p>
    <w:p w14:paraId="60EAE360">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（3）各项评审因素的设置如下：</w:t>
      </w:r>
    </w:p>
    <w:p w14:paraId="584E9BD8">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①价格项（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）满分为</w:t>
      </w:r>
      <w:r>
        <w:rPr>
          <w:rFonts w:hint="eastAsia" w:ascii="宋体" w:hAnsi="宋体" w:eastAsia="宋体" w:cs="宋体"/>
          <w:sz w:val="24"/>
          <w:szCs w:val="24"/>
          <w:u w:val="single"/>
        </w:rPr>
        <w:t>30</w:t>
      </w:r>
      <w:r>
        <w:rPr>
          <w:rFonts w:hint="eastAsia" w:ascii="宋体" w:hAnsi="宋体" w:eastAsia="宋体" w:cs="宋体"/>
          <w:sz w:val="24"/>
          <w:szCs w:val="24"/>
        </w:rPr>
        <w:t>分。</w:t>
      </w:r>
    </w:p>
    <w:p w14:paraId="0BE98319">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24"/>
          <w:szCs w:val="24"/>
        </w:rPr>
        <w:t>=</w:t>
      </w:r>
      <w:r>
        <w:rPr>
          <w:rFonts w:hint="eastAsia" w:ascii="宋体" w:hAnsi="宋体" w:eastAsia="宋体" w:cs="宋体"/>
          <w:sz w:val="24"/>
          <w:szCs w:val="24"/>
        </w:rPr>
        <w:t>（评标基准价／投标报价）×</w:t>
      </w:r>
      <w:r>
        <w:rPr>
          <w:rFonts w:hint="default" w:ascii="Calibri" w:hAnsi="Calibri" w:eastAsia="宋体" w:cs="Calibri"/>
          <w:sz w:val="24"/>
          <w:szCs w:val="24"/>
        </w:rPr>
        <w:t>100</w:t>
      </w:r>
      <w:r>
        <w:rPr>
          <w:rFonts w:hint="eastAsia" w:ascii="宋体" w:hAnsi="宋体" w:eastAsia="宋体" w:cs="宋体"/>
          <w:sz w:val="24"/>
          <w:szCs w:val="24"/>
        </w:rPr>
        <w:t>。因落实政府采购政策需进行价格扣除的，以扣除后的价格计算评标基准价和投标报价。</w:t>
      </w:r>
    </w:p>
    <w:p w14:paraId="6D6ACE95">
      <w:pPr>
        <w:pStyle w:val="5"/>
        <w:keepNext w:val="0"/>
        <w:keepLines w:val="0"/>
        <w:widowControl/>
        <w:suppressLineNumbers w:val="0"/>
        <w:spacing w:before="0" w:beforeAutospacing="0" w:after="150" w:afterAutospacing="0"/>
        <w:ind w:left="0" w:right="0" w:firstLine="480"/>
      </w:pPr>
      <w:r>
        <w:rPr>
          <w:rFonts w:hint="default" w:ascii="Calibri" w:hAnsi="Calibri" w:cs="Calibri"/>
          <w:sz w:val="24"/>
          <w:szCs w:val="24"/>
        </w:rPr>
        <w:t>b.</w:t>
      </w:r>
      <w:r>
        <w:rPr>
          <w:rFonts w:hint="eastAsia" w:ascii="宋体" w:hAnsi="宋体" w:eastAsia="宋体" w:cs="宋体"/>
          <w:sz w:val="24"/>
          <w:szCs w:val="24"/>
        </w:rPr>
        <w:t>价格扣除的规则如下：</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71"/>
        <w:gridCol w:w="7151"/>
      </w:tblGrid>
      <w:tr w14:paraId="71CD68E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14:paraId="05EB51B5">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14:paraId="4050B693">
            <w:pPr>
              <w:keepNext w:val="0"/>
              <w:keepLines w:val="0"/>
              <w:widowControl/>
              <w:suppressLineNumbers w:val="0"/>
              <w:jc w:val="center"/>
            </w:pPr>
            <w:r>
              <w:rPr>
                <w:rFonts w:ascii="宋体" w:hAnsi="宋体" w:eastAsia="宋体" w:cs="宋体"/>
                <w:kern w:val="0"/>
                <w:sz w:val="24"/>
                <w:szCs w:val="24"/>
                <w:lang w:val="en-US" w:eastAsia="zh-CN" w:bidi="ar"/>
              </w:rPr>
              <w:t>评标方法</w:t>
            </w:r>
          </w:p>
        </w:tc>
      </w:tr>
      <w:tr w14:paraId="2B302D9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14:paraId="2BAC93A5">
            <w:pPr>
              <w:keepNext w:val="0"/>
              <w:keepLines w:val="0"/>
              <w:widowControl/>
              <w:suppressLineNumbers w:val="0"/>
              <w:jc w:val="left"/>
            </w:pPr>
            <w:r>
              <w:rPr>
                <w:rFonts w:ascii="宋体" w:hAnsi="宋体" w:eastAsia="宋体" w:cs="宋体"/>
                <w:kern w:val="0"/>
                <w:sz w:val="24"/>
                <w:szCs w:val="24"/>
                <w:lang w:val="en-US" w:eastAsia="zh-CN" w:bidi="ar"/>
              </w:rPr>
              <w:t>小型、微型企业，监狱企业，残疾人</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14:paraId="102F0AA0">
            <w:pPr>
              <w:keepNext w:val="0"/>
              <w:keepLines w:val="0"/>
              <w:widowControl/>
              <w:suppressLineNumbers w:val="0"/>
              <w:jc w:val="left"/>
            </w:pPr>
            <w:r>
              <w:rPr>
                <w:rStyle w:val="8"/>
                <w:rFonts w:ascii="宋体" w:hAnsi="宋体" w:eastAsia="宋体" w:cs="宋体"/>
                <w:b/>
                <w:kern w:val="0"/>
                <w:sz w:val="24"/>
                <w:szCs w:val="24"/>
                <w:lang w:val="en-US" w:eastAsia="zh-CN" w:bidi="ar"/>
              </w:rPr>
              <w:t>小型、微型企业，监狱企业，残疾人 《政府采购促进中小企业发展暂行办法》价格的扣除：1、根据财政部、工信部印发的《政府采购促进中小企业发展暂行办法》财库〔2011〕181号，本办法所称中小企业(含中型、小型、微型企业，下同)应当同时符合以下条件：(1)符合中小企业划分标准；(2)提供本企业制造的货物、承担的工程或者服务，或者提供其他中小企业制造的货物。本项所称货物不包括使用大型企业注册商标的货物。本办法所称中小企业划分标准，是指国务院有关部门根据企业从业人员、营业收入、资产总额等指标制定的中小企业划型标准。小型、微型企业提供中型企业制造的货物的，视同为中型企业。2、本项目为非专门面向中小企业的项目，对小型和微型企业产品的价格给予6%的扣除，用扣除后的价格参与评审。残疾人集中就业企业、监狱企业视同小型和微型企业，享受评审中价格扣除的政府采购政策。3、参加政府采购活动的中小企业应当提供《政府采购促进中小企业发展暂行办法》规定的《中小企业声明函》(见第七章投标文件格式)。4、政府采购对中小企业的认定，由企业所在地的县级以上中小企业主管部门负责。须提供中小企业主管部门的证明函，否则不予价格扣除。5、监狱企业参加政府采购活动时，应当提供由省级以上监狱管理局、戒毒管理局(含新疆生产建设兵团)出具的属于监狱企业的证明文件，否则不予价格扣除。注：投标人在报价时必须对提供本企业制造的货物、承担的工程或者服务，或者提供其他中小企业制造的货物单独在小型、微型企业产品统计表中填写，并提供相关证明资料复印件附在报价部分(电子证明资料应上传在对应评分模块)且加盖投标人公章。未单独分项报价或未按规定提供相关证明资料的不给予价格扣除。评标委员会审查此项响应性只根据投标文件本身的内容，而不寻求其他的外部证据。残疾人福利性单位产品《三部门联合发布关于促进残疾人就业政府采购政策的通知》价格的扣除：1、根据财政部、民政部、中国残疾人联合会印发的《三部门联合发布关于促进残疾人就业政府采购政策的通知》财库〔2017〕141号，依照《政府采购法》、《残疾人保障法》等法律法规及相关规定，享受政府采购支持政策的残疾人福利性单位应当同时满足以下条件：(1)安置的残疾人占本单位在职职工人数的比例不低于25%(含25%)，并且安置的残疾人人数不少于10人(含10人)；(2)依法与安置的每位残疾人签订了一年以上(含一年)的劳动合同或服务协议；(3)为安置的每位残疾人按月足额缴纳了基本养老保险、基本医疗保险、失业保险、工伤保险和生育保险等社会保险费；(4)通过银行等金融机构向安置的每位残疾人，按月支付了不低于单位所在区县适用的经省级人民政府批准的月最低工资标准的工资；(5)提供本单位制造的货物、承担的工程或者服务(以下简称产品)，或者提供其他残疾人福利性单位制造的货物(不包括使用非残疾人福利性单位注册商标的货物)。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2、符合条件的残疾人福利性单位在参加政府采购活动时，应当提供《三部门联合发布关于促进残疾人就业政府采购政策的通知》规定的《残疾人福利性单位声明函》(见招标文件格式)，并对声明的真实性负责。3、在政府采购活动中，残疾人福利性单位视同小型、微型企业，享受“《政府采购促进中小企业发展暂行办法》价格的扣除”的政府采购政策。残疾人福利性单位属于小型、微型企业的，不重复享受政策。</w:t>
            </w:r>
          </w:p>
        </w:tc>
      </w:tr>
    </w:tbl>
    <w:p w14:paraId="6DE84C89">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7BEB8074">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7DAB121C">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2FBEA1D5">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9EB761D">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2627FB2F">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2A2E0BB">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70E47F9">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220BE0B7">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24A170BC">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70D23363">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EEAB04C">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BA8FB24">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②技术项（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）满分为</w:t>
      </w:r>
      <w:r>
        <w:rPr>
          <w:rFonts w:hint="eastAsia" w:ascii="宋体" w:hAnsi="宋体" w:eastAsia="宋体" w:cs="宋体"/>
          <w:sz w:val="24"/>
          <w:szCs w:val="24"/>
          <w:u w:val="single"/>
        </w:rPr>
        <w:t>55</w:t>
      </w:r>
      <w:r>
        <w:rPr>
          <w:rFonts w:hint="eastAsia" w:ascii="宋体" w:hAnsi="宋体" w:eastAsia="宋体" w:cs="宋体"/>
          <w:sz w:val="24"/>
          <w:szCs w:val="24"/>
        </w:rPr>
        <w:t>分。</w:t>
      </w:r>
    </w:p>
    <w:tbl>
      <w:tblPr>
        <w:tblStyle w:val="6"/>
        <w:tblW w:w="830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215"/>
        <w:gridCol w:w="1146"/>
        <w:gridCol w:w="5939"/>
      </w:tblGrid>
      <w:tr w14:paraId="5CEAFB1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938" w:hRule="atLeast"/>
          <w:tblHeader/>
        </w:trPr>
        <w:tc>
          <w:tcPr>
            <w:tcW w:w="1215" w:type="dxa"/>
            <w:tcBorders>
              <w:top w:val="outset" w:color="auto" w:sz="6" w:space="0"/>
              <w:left w:val="outset" w:color="auto" w:sz="6" w:space="0"/>
              <w:bottom w:val="outset" w:color="auto" w:sz="6" w:space="0"/>
              <w:right w:val="outset" w:color="auto" w:sz="6" w:space="0"/>
            </w:tcBorders>
            <w:shd w:val="clear" w:color="auto" w:fill="auto"/>
            <w:vAlign w:val="center"/>
          </w:tcPr>
          <w:p w14:paraId="062B6CCA">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146" w:type="dxa"/>
            <w:tcBorders>
              <w:top w:val="outset" w:color="auto" w:sz="6" w:space="0"/>
              <w:left w:val="outset" w:color="auto" w:sz="6" w:space="0"/>
              <w:bottom w:val="outset" w:color="auto" w:sz="6" w:space="0"/>
              <w:right w:val="outset" w:color="auto" w:sz="6" w:space="0"/>
            </w:tcBorders>
            <w:shd w:val="clear" w:color="auto" w:fill="auto"/>
            <w:vAlign w:val="center"/>
          </w:tcPr>
          <w:p w14:paraId="429F42B1">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5939" w:type="dxa"/>
            <w:tcBorders>
              <w:top w:val="outset" w:color="auto" w:sz="6" w:space="0"/>
              <w:left w:val="outset" w:color="auto" w:sz="6" w:space="0"/>
              <w:bottom w:val="outset" w:color="auto" w:sz="6" w:space="0"/>
              <w:right w:val="outset" w:color="auto" w:sz="6" w:space="0"/>
            </w:tcBorders>
            <w:shd w:val="clear" w:color="auto" w:fill="auto"/>
            <w:vAlign w:val="center"/>
          </w:tcPr>
          <w:p w14:paraId="50312A32">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2B0827B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417" w:hRule="atLeast"/>
        </w:trPr>
        <w:tc>
          <w:tcPr>
            <w:tcW w:w="1215" w:type="dxa"/>
            <w:tcBorders>
              <w:top w:val="outset" w:color="auto" w:sz="6" w:space="0"/>
              <w:left w:val="outset" w:color="auto" w:sz="6" w:space="0"/>
              <w:bottom w:val="outset" w:color="auto" w:sz="6" w:space="0"/>
              <w:right w:val="outset" w:color="auto" w:sz="6" w:space="0"/>
            </w:tcBorders>
            <w:shd w:val="clear" w:color="auto" w:fill="auto"/>
            <w:vAlign w:val="center"/>
          </w:tcPr>
          <w:p w14:paraId="14B75568">
            <w:pPr>
              <w:keepNext w:val="0"/>
              <w:keepLines w:val="0"/>
              <w:widowControl/>
              <w:suppressLineNumbers w:val="0"/>
              <w:jc w:val="left"/>
            </w:pPr>
            <w:r>
              <w:rPr>
                <w:rFonts w:ascii="宋体" w:hAnsi="宋体" w:eastAsia="宋体" w:cs="宋体"/>
                <w:kern w:val="0"/>
                <w:sz w:val="24"/>
                <w:szCs w:val="24"/>
                <w:lang w:val="en-US" w:eastAsia="zh-CN" w:bidi="ar"/>
              </w:rPr>
              <w:t>A1、所投货物技术的响应情况</w:t>
            </w:r>
          </w:p>
        </w:tc>
        <w:tc>
          <w:tcPr>
            <w:tcW w:w="1146" w:type="dxa"/>
            <w:tcBorders>
              <w:top w:val="outset" w:color="auto" w:sz="6" w:space="0"/>
              <w:left w:val="outset" w:color="auto" w:sz="6" w:space="0"/>
              <w:bottom w:val="outset" w:color="auto" w:sz="6" w:space="0"/>
              <w:right w:val="outset" w:color="auto" w:sz="6" w:space="0"/>
            </w:tcBorders>
            <w:shd w:val="clear" w:color="auto" w:fill="auto"/>
            <w:vAlign w:val="center"/>
          </w:tcPr>
          <w:p w14:paraId="4D698B43">
            <w:pPr>
              <w:keepNext w:val="0"/>
              <w:keepLines w:val="0"/>
              <w:widowControl/>
              <w:suppressLineNumbers w:val="0"/>
              <w:jc w:val="center"/>
            </w:pPr>
            <w:r>
              <w:rPr>
                <w:rFonts w:ascii="宋体" w:hAnsi="宋体" w:eastAsia="宋体" w:cs="宋体"/>
                <w:kern w:val="0"/>
                <w:sz w:val="24"/>
                <w:szCs w:val="24"/>
                <w:lang w:val="en-US" w:eastAsia="zh-CN" w:bidi="ar"/>
              </w:rPr>
              <w:t>38</w:t>
            </w:r>
          </w:p>
        </w:tc>
        <w:tc>
          <w:tcPr>
            <w:tcW w:w="5939" w:type="dxa"/>
            <w:tcBorders>
              <w:top w:val="outset" w:color="auto" w:sz="6" w:space="0"/>
              <w:left w:val="outset" w:color="auto" w:sz="6" w:space="0"/>
              <w:bottom w:val="outset" w:color="auto" w:sz="6" w:space="0"/>
              <w:right w:val="outset" w:color="auto" w:sz="6" w:space="0"/>
            </w:tcBorders>
            <w:shd w:val="clear" w:color="auto" w:fill="auto"/>
            <w:vAlign w:val="center"/>
          </w:tcPr>
          <w:p w14:paraId="663FB636">
            <w:pPr>
              <w:keepNext w:val="0"/>
              <w:keepLines w:val="0"/>
              <w:widowControl/>
              <w:suppressLineNumbers w:val="0"/>
              <w:jc w:val="left"/>
            </w:pPr>
            <w:r>
              <w:rPr>
                <w:rFonts w:ascii="宋体" w:hAnsi="宋体" w:eastAsia="宋体" w:cs="宋体"/>
                <w:kern w:val="0"/>
                <w:sz w:val="24"/>
                <w:szCs w:val="24"/>
                <w:lang w:val="en-US" w:eastAsia="zh-CN" w:bidi="ar"/>
              </w:rPr>
              <w:t>根据投标人对招标文件第五章《招标内容及要求》二、技术和服务要求“合同包4：“取暖器”参数要求的逐项响应、承诺的情况由评委进行评议评分，投标人所投产品完全满足招标文件技术规范及要求的得38分，有负偏离情况的，每负偏离一项扣3分，扣完为止，正偏离不加分。（满分38分）</w:t>
            </w:r>
          </w:p>
        </w:tc>
      </w:tr>
      <w:tr w14:paraId="30F1CF7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80" w:hRule="atLeast"/>
        </w:trPr>
        <w:tc>
          <w:tcPr>
            <w:tcW w:w="1215" w:type="dxa"/>
            <w:tcBorders>
              <w:top w:val="outset" w:color="auto" w:sz="6" w:space="0"/>
              <w:left w:val="outset" w:color="auto" w:sz="6" w:space="0"/>
              <w:bottom w:val="outset" w:color="auto" w:sz="6" w:space="0"/>
              <w:right w:val="outset" w:color="auto" w:sz="6" w:space="0"/>
            </w:tcBorders>
            <w:shd w:val="clear" w:color="auto" w:fill="auto"/>
            <w:vAlign w:val="center"/>
          </w:tcPr>
          <w:p w14:paraId="092B60A4">
            <w:pPr>
              <w:keepNext w:val="0"/>
              <w:keepLines w:val="0"/>
              <w:widowControl/>
              <w:suppressLineNumbers w:val="0"/>
              <w:jc w:val="left"/>
            </w:pPr>
            <w:r>
              <w:rPr>
                <w:rFonts w:ascii="宋体" w:hAnsi="宋体" w:eastAsia="宋体" w:cs="宋体"/>
                <w:kern w:val="0"/>
                <w:sz w:val="24"/>
                <w:szCs w:val="24"/>
                <w:lang w:val="en-US" w:eastAsia="zh-CN" w:bidi="ar"/>
              </w:rPr>
              <w:t>A2、生产情况说明</w:t>
            </w:r>
          </w:p>
        </w:tc>
        <w:tc>
          <w:tcPr>
            <w:tcW w:w="1146" w:type="dxa"/>
            <w:tcBorders>
              <w:top w:val="outset" w:color="auto" w:sz="6" w:space="0"/>
              <w:left w:val="outset" w:color="auto" w:sz="6" w:space="0"/>
              <w:bottom w:val="outset" w:color="auto" w:sz="6" w:space="0"/>
              <w:right w:val="outset" w:color="auto" w:sz="6" w:space="0"/>
            </w:tcBorders>
            <w:shd w:val="clear" w:color="auto" w:fill="auto"/>
            <w:vAlign w:val="center"/>
          </w:tcPr>
          <w:p w14:paraId="27A6D94B">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39" w:type="dxa"/>
            <w:tcBorders>
              <w:top w:val="outset" w:color="auto" w:sz="6" w:space="0"/>
              <w:left w:val="outset" w:color="auto" w:sz="6" w:space="0"/>
              <w:bottom w:val="outset" w:color="auto" w:sz="6" w:space="0"/>
              <w:right w:val="outset" w:color="auto" w:sz="6" w:space="0"/>
            </w:tcBorders>
            <w:shd w:val="clear" w:color="auto" w:fill="auto"/>
            <w:vAlign w:val="center"/>
          </w:tcPr>
          <w:p w14:paraId="43A4AFD1">
            <w:pPr>
              <w:keepNext w:val="0"/>
              <w:keepLines w:val="0"/>
              <w:widowControl/>
              <w:suppressLineNumbers w:val="0"/>
              <w:jc w:val="left"/>
            </w:pPr>
            <w:r>
              <w:rPr>
                <w:rFonts w:ascii="宋体" w:hAnsi="宋体" w:eastAsia="宋体" w:cs="宋体"/>
                <w:kern w:val="0"/>
                <w:sz w:val="24"/>
                <w:szCs w:val="24"/>
                <w:lang w:val="en-US" w:eastAsia="zh-CN" w:bidi="ar"/>
              </w:rPr>
              <w:t>根据投标人提供的生产计划，生产方案、产品工艺流程说明、加工设备清单等进行横向评议，由评委在0～3分之间进行评分。</w:t>
            </w:r>
          </w:p>
        </w:tc>
      </w:tr>
      <w:tr w14:paraId="25AAD78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938" w:hRule="atLeast"/>
        </w:trPr>
        <w:tc>
          <w:tcPr>
            <w:tcW w:w="1215" w:type="dxa"/>
            <w:tcBorders>
              <w:top w:val="outset" w:color="auto" w:sz="6" w:space="0"/>
              <w:left w:val="outset" w:color="auto" w:sz="6" w:space="0"/>
              <w:bottom w:val="outset" w:color="auto" w:sz="6" w:space="0"/>
              <w:right w:val="outset" w:color="auto" w:sz="6" w:space="0"/>
            </w:tcBorders>
            <w:shd w:val="clear" w:color="auto" w:fill="auto"/>
            <w:vAlign w:val="center"/>
          </w:tcPr>
          <w:p w14:paraId="2BC08377">
            <w:pPr>
              <w:keepNext w:val="0"/>
              <w:keepLines w:val="0"/>
              <w:widowControl/>
              <w:suppressLineNumbers w:val="0"/>
              <w:jc w:val="left"/>
            </w:pPr>
            <w:r>
              <w:rPr>
                <w:rFonts w:ascii="宋体" w:hAnsi="宋体" w:eastAsia="宋体" w:cs="宋体"/>
                <w:kern w:val="0"/>
                <w:sz w:val="24"/>
                <w:szCs w:val="24"/>
                <w:lang w:val="en-US" w:eastAsia="zh-CN" w:bidi="ar"/>
              </w:rPr>
              <w:t>A3、项目保障措施</w:t>
            </w:r>
          </w:p>
        </w:tc>
        <w:tc>
          <w:tcPr>
            <w:tcW w:w="1146" w:type="dxa"/>
            <w:tcBorders>
              <w:top w:val="outset" w:color="auto" w:sz="6" w:space="0"/>
              <w:left w:val="outset" w:color="auto" w:sz="6" w:space="0"/>
              <w:bottom w:val="outset" w:color="auto" w:sz="6" w:space="0"/>
              <w:right w:val="outset" w:color="auto" w:sz="6" w:space="0"/>
            </w:tcBorders>
            <w:shd w:val="clear" w:color="auto" w:fill="auto"/>
            <w:vAlign w:val="center"/>
          </w:tcPr>
          <w:p w14:paraId="1CA1BF68">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39" w:type="dxa"/>
            <w:tcBorders>
              <w:top w:val="outset" w:color="auto" w:sz="6" w:space="0"/>
              <w:left w:val="outset" w:color="auto" w:sz="6" w:space="0"/>
              <w:bottom w:val="outset" w:color="auto" w:sz="6" w:space="0"/>
              <w:right w:val="outset" w:color="auto" w:sz="6" w:space="0"/>
            </w:tcBorders>
            <w:shd w:val="clear" w:color="auto" w:fill="auto"/>
            <w:vAlign w:val="center"/>
          </w:tcPr>
          <w:p w14:paraId="63FA583A">
            <w:pPr>
              <w:keepNext w:val="0"/>
              <w:keepLines w:val="0"/>
              <w:widowControl/>
              <w:suppressLineNumbers w:val="0"/>
              <w:jc w:val="left"/>
            </w:pPr>
            <w:r>
              <w:rPr>
                <w:rFonts w:ascii="宋体" w:hAnsi="宋体" w:eastAsia="宋体" w:cs="宋体"/>
                <w:kern w:val="0"/>
                <w:sz w:val="24"/>
                <w:szCs w:val="24"/>
                <w:lang w:val="en-US" w:eastAsia="zh-CN" w:bidi="ar"/>
              </w:rPr>
              <w:t>根据投标人提供的产品检测方案、质量保障，供货保障方案详细程度等进行横向评议，保障方案罗列齐全详细且保障方案可行性强的得3分；方案一般但较为合理的得2分，保障方案不合理或未提供保障方案的本项不得分。</w:t>
            </w:r>
          </w:p>
        </w:tc>
      </w:tr>
      <w:tr w14:paraId="0B38373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80" w:hRule="atLeast"/>
        </w:trPr>
        <w:tc>
          <w:tcPr>
            <w:tcW w:w="1215" w:type="dxa"/>
            <w:tcBorders>
              <w:top w:val="outset" w:color="auto" w:sz="6" w:space="0"/>
              <w:left w:val="outset" w:color="auto" w:sz="6" w:space="0"/>
              <w:bottom w:val="outset" w:color="auto" w:sz="6" w:space="0"/>
              <w:right w:val="outset" w:color="auto" w:sz="6" w:space="0"/>
            </w:tcBorders>
            <w:shd w:val="clear" w:color="auto" w:fill="auto"/>
            <w:vAlign w:val="center"/>
          </w:tcPr>
          <w:p w14:paraId="58FDE6BE">
            <w:pPr>
              <w:keepNext w:val="0"/>
              <w:keepLines w:val="0"/>
              <w:widowControl/>
              <w:suppressLineNumbers w:val="0"/>
              <w:jc w:val="left"/>
            </w:pPr>
            <w:r>
              <w:rPr>
                <w:rFonts w:ascii="宋体" w:hAnsi="宋体" w:eastAsia="宋体" w:cs="宋体"/>
                <w:kern w:val="0"/>
                <w:sz w:val="24"/>
                <w:szCs w:val="24"/>
                <w:lang w:val="en-US" w:eastAsia="zh-CN" w:bidi="ar"/>
              </w:rPr>
              <w:t>A4-1、样品情况</w:t>
            </w:r>
          </w:p>
        </w:tc>
        <w:tc>
          <w:tcPr>
            <w:tcW w:w="1146" w:type="dxa"/>
            <w:tcBorders>
              <w:top w:val="outset" w:color="auto" w:sz="6" w:space="0"/>
              <w:left w:val="outset" w:color="auto" w:sz="6" w:space="0"/>
              <w:bottom w:val="outset" w:color="auto" w:sz="6" w:space="0"/>
              <w:right w:val="outset" w:color="auto" w:sz="6" w:space="0"/>
            </w:tcBorders>
            <w:shd w:val="clear" w:color="auto" w:fill="auto"/>
            <w:vAlign w:val="center"/>
          </w:tcPr>
          <w:p w14:paraId="1767C32A">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39" w:type="dxa"/>
            <w:tcBorders>
              <w:top w:val="outset" w:color="auto" w:sz="6" w:space="0"/>
              <w:left w:val="outset" w:color="auto" w:sz="6" w:space="0"/>
              <w:bottom w:val="outset" w:color="auto" w:sz="6" w:space="0"/>
              <w:right w:val="outset" w:color="auto" w:sz="6" w:space="0"/>
            </w:tcBorders>
            <w:shd w:val="clear" w:color="auto" w:fill="auto"/>
            <w:vAlign w:val="center"/>
          </w:tcPr>
          <w:p w14:paraId="4B097AB9">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根据投标人所提供样品的整体质量情况由评委在0～3分之间进行评分。</w:t>
            </w:r>
          </w:p>
        </w:tc>
      </w:tr>
      <w:tr w14:paraId="6569538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80" w:hRule="atLeast"/>
        </w:trPr>
        <w:tc>
          <w:tcPr>
            <w:tcW w:w="1215" w:type="dxa"/>
            <w:tcBorders>
              <w:top w:val="outset" w:color="auto" w:sz="6" w:space="0"/>
              <w:left w:val="outset" w:color="auto" w:sz="6" w:space="0"/>
              <w:bottom w:val="outset" w:color="auto" w:sz="6" w:space="0"/>
              <w:right w:val="outset" w:color="auto" w:sz="6" w:space="0"/>
            </w:tcBorders>
            <w:shd w:val="clear" w:color="auto" w:fill="auto"/>
            <w:vAlign w:val="center"/>
          </w:tcPr>
          <w:p w14:paraId="7DAE328E">
            <w:pPr>
              <w:keepNext w:val="0"/>
              <w:keepLines w:val="0"/>
              <w:widowControl/>
              <w:suppressLineNumbers w:val="0"/>
              <w:jc w:val="left"/>
            </w:pPr>
            <w:r>
              <w:rPr>
                <w:rFonts w:ascii="宋体" w:hAnsi="宋体" w:eastAsia="宋体" w:cs="宋体"/>
                <w:kern w:val="0"/>
                <w:sz w:val="24"/>
                <w:szCs w:val="24"/>
                <w:lang w:val="en-US" w:eastAsia="zh-CN" w:bidi="ar"/>
              </w:rPr>
              <w:t>A4-2、样品情况</w:t>
            </w:r>
          </w:p>
        </w:tc>
        <w:tc>
          <w:tcPr>
            <w:tcW w:w="1146" w:type="dxa"/>
            <w:tcBorders>
              <w:top w:val="outset" w:color="auto" w:sz="6" w:space="0"/>
              <w:left w:val="outset" w:color="auto" w:sz="6" w:space="0"/>
              <w:bottom w:val="outset" w:color="auto" w:sz="6" w:space="0"/>
              <w:right w:val="outset" w:color="auto" w:sz="6" w:space="0"/>
            </w:tcBorders>
            <w:shd w:val="clear" w:color="auto" w:fill="auto"/>
            <w:vAlign w:val="center"/>
          </w:tcPr>
          <w:p w14:paraId="0BBB7373">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39" w:type="dxa"/>
            <w:tcBorders>
              <w:top w:val="outset" w:color="auto" w:sz="6" w:space="0"/>
              <w:left w:val="outset" w:color="auto" w:sz="6" w:space="0"/>
              <w:bottom w:val="outset" w:color="auto" w:sz="6" w:space="0"/>
              <w:right w:val="outset" w:color="auto" w:sz="6" w:space="0"/>
            </w:tcBorders>
            <w:shd w:val="clear" w:color="auto" w:fill="auto"/>
            <w:vAlign w:val="center"/>
          </w:tcPr>
          <w:p w14:paraId="3BC9350C">
            <w:pPr>
              <w:keepNext w:val="0"/>
              <w:keepLines w:val="0"/>
              <w:widowControl/>
              <w:suppressLineNumbers w:val="0"/>
              <w:jc w:val="left"/>
            </w:pPr>
            <w:r>
              <w:rPr>
                <w:rFonts w:ascii="宋体" w:hAnsi="宋体" w:eastAsia="宋体" w:cs="宋体"/>
                <w:kern w:val="0"/>
                <w:sz w:val="24"/>
                <w:szCs w:val="24"/>
                <w:lang w:val="en-US" w:eastAsia="zh-CN" w:bidi="ar"/>
              </w:rPr>
              <w:t>根据投标人所提供样品的面料情况由评委在0～3分之间进行评分。</w:t>
            </w:r>
          </w:p>
        </w:tc>
      </w:tr>
      <w:tr w14:paraId="5F9E52D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80" w:hRule="atLeast"/>
        </w:trPr>
        <w:tc>
          <w:tcPr>
            <w:tcW w:w="1215" w:type="dxa"/>
            <w:tcBorders>
              <w:top w:val="outset" w:color="auto" w:sz="6" w:space="0"/>
              <w:left w:val="outset" w:color="auto" w:sz="6" w:space="0"/>
              <w:bottom w:val="outset" w:color="auto" w:sz="6" w:space="0"/>
              <w:right w:val="outset" w:color="auto" w:sz="6" w:space="0"/>
            </w:tcBorders>
            <w:shd w:val="clear" w:color="auto" w:fill="auto"/>
            <w:vAlign w:val="center"/>
          </w:tcPr>
          <w:p w14:paraId="0CD82681">
            <w:pPr>
              <w:keepNext w:val="0"/>
              <w:keepLines w:val="0"/>
              <w:widowControl/>
              <w:suppressLineNumbers w:val="0"/>
              <w:jc w:val="left"/>
            </w:pPr>
            <w:r>
              <w:rPr>
                <w:rFonts w:ascii="宋体" w:hAnsi="宋体" w:eastAsia="宋体" w:cs="宋体"/>
                <w:kern w:val="0"/>
                <w:sz w:val="24"/>
                <w:szCs w:val="24"/>
                <w:lang w:val="en-US" w:eastAsia="zh-CN" w:bidi="ar"/>
              </w:rPr>
              <w:t>A4-3、样品情况</w:t>
            </w:r>
          </w:p>
        </w:tc>
        <w:tc>
          <w:tcPr>
            <w:tcW w:w="1146" w:type="dxa"/>
            <w:tcBorders>
              <w:top w:val="outset" w:color="auto" w:sz="6" w:space="0"/>
              <w:left w:val="outset" w:color="auto" w:sz="6" w:space="0"/>
              <w:bottom w:val="outset" w:color="auto" w:sz="6" w:space="0"/>
              <w:right w:val="outset" w:color="auto" w:sz="6" w:space="0"/>
            </w:tcBorders>
            <w:shd w:val="clear" w:color="auto" w:fill="auto"/>
            <w:vAlign w:val="center"/>
          </w:tcPr>
          <w:p w14:paraId="454835D0">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39" w:type="dxa"/>
            <w:tcBorders>
              <w:top w:val="outset" w:color="auto" w:sz="6" w:space="0"/>
              <w:left w:val="outset" w:color="auto" w:sz="6" w:space="0"/>
              <w:bottom w:val="outset" w:color="auto" w:sz="6" w:space="0"/>
              <w:right w:val="outset" w:color="auto" w:sz="6" w:space="0"/>
            </w:tcBorders>
            <w:shd w:val="clear" w:color="auto" w:fill="auto"/>
            <w:vAlign w:val="center"/>
          </w:tcPr>
          <w:p w14:paraId="6D08FE90">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根据投标人所提供样品的整体工艺水平由评委在0～3分之间进行评分。</w:t>
            </w:r>
          </w:p>
        </w:tc>
      </w:tr>
      <w:tr w14:paraId="34B55E9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03" w:hRule="atLeast"/>
        </w:trPr>
        <w:tc>
          <w:tcPr>
            <w:tcW w:w="1215" w:type="dxa"/>
            <w:tcBorders>
              <w:top w:val="outset" w:color="auto" w:sz="6" w:space="0"/>
              <w:left w:val="outset" w:color="auto" w:sz="6" w:space="0"/>
              <w:bottom w:val="outset" w:color="auto" w:sz="6" w:space="0"/>
              <w:right w:val="outset" w:color="auto" w:sz="6" w:space="0"/>
            </w:tcBorders>
            <w:shd w:val="clear" w:color="auto" w:fill="auto"/>
            <w:vAlign w:val="center"/>
          </w:tcPr>
          <w:p w14:paraId="23569E9A">
            <w:pPr>
              <w:keepNext w:val="0"/>
              <w:keepLines w:val="0"/>
              <w:widowControl/>
              <w:suppressLineNumbers w:val="0"/>
              <w:jc w:val="left"/>
            </w:pPr>
            <w:r>
              <w:rPr>
                <w:rFonts w:ascii="宋体" w:hAnsi="宋体" w:eastAsia="宋体" w:cs="宋体"/>
                <w:kern w:val="0"/>
                <w:sz w:val="24"/>
                <w:szCs w:val="24"/>
                <w:lang w:val="en-US" w:eastAsia="zh-CN" w:bidi="ar"/>
              </w:rPr>
              <w:t>A4-4、样品情况</w:t>
            </w:r>
          </w:p>
        </w:tc>
        <w:tc>
          <w:tcPr>
            <w:tcW w:w="1146" w:type="dxa"/>
            <w:tcBorders>
              <w:top w:val="outset" w:color="auto" w:sz="6" w:space="0"/>
              <w:left w:val="outset" w:color="auto" w:sz="6" w:space="0"/>
              <w:bottom w:val="outset" w:color="auto" w:sz="6" w:space="0"/>
              <w:right w:val="outset" w:color="auto" w:sz="6" w:space="0"/>
            </w:tcBorders>
            <w:shd w:val="clear" w:color="auto" w:fill="auto"/>
            <w:vAlign w:val="center"/>
          </w:tcPr>
          <w:p w14:paraId="40B022BD">
            <w:pPr>
              <w:keepNext w:val="0"/>
              <w:keepLines w:val="0"/>
              <w:widowControl/>
              <w:suppressLineNumbers w:val="0"/>
              <w:jc w:val="center"/>
            </w:pPr>
            <w:r>
              <w:rPr>
                <w:rFonts w:ascii="宋体" w:hAnsi="宋体" w:eastAsia="宋体" w:cs="宋体"/>
                <w:kern w:val="0"/>
                <w:sz w:val="24"/>
                <w:szCs w:val="24"/>
                <w:lang w:val="en-US" w:eastAsia="zh-CN" w:bidi="ar"/>
              </w:rPr>
              <w:t>2</w:t>
            </w:r>
          </w:p>
        </w:tc>
        <w:tc>
          <w:tcPr>
            <w:tcW w:w="5939" w:type="dxa"/>
            <w:tcBorders>
              <w:top w:val="outset" w:color="auto" w:sz="6" w:space="0"/>
              <w:left w:val="outset" w:color="auto" w:sz="6" w:space="0"/>
              <w:bottom w:val="outset" w:color="auto" w:sz="6" w:space="0"/>
              <w:right w:val="outset" w:color="auto" w:sz="6" w:space="0"/>
            </w:tcBorders>
            <w:shd w:val="clear" w:color="auto" w:fill="auto"/>
            <w:vAlign w:val="center"/>
          </w:tcPr>
          <w:p w14:paraId="6A3349C3">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根据投标人所提供样品的手感情况由评委在0～2分之间进行评分。</w:t>
            </w:r>
          </w:p>
        </w:tc>
      </w:tr>
    </w:tbl>
    <w:p w14:paraId="16DC25B7">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62577590">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5E801CA">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6A16CE0D">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E64A3BD">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③商务项（</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）满分为</w:t>
      </w:r>
      <w:r>
        <w:rPr>
          <w:rFonts w:hint="eastAsia" w:ascii="宋体" w:hAnsi="宋体" w:eastAsia="宋体" w:cs="宋体"/>
          <w:sz w:val="24"/>
          <w:szCs w:val="24"/>
          <w:u w:val="single"/>
        </w:rPr>
        <w:t>15</w:t>
      </w:r>
      <w:r>
        <w:rPr>
          <w:rFonts w:hint="eastAsia" w:ascii="宋体" w:hAnsi="宋体" w:eastAsia="宋体" w:cs="宋体"/>
          <w:sz w:val="24"/>
          <w:szCs w:val="24"/>
        </w:rPr>
        <w:t>分。</w:t>
      </w:r>
    </w:p>
    <w:tbl>
      <w:tblPr>
        <w:tblStyle w:val="6"/>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81"/>
        <w:gridCol w:w="1080"/>
        <w:gridCol w:w="6255"/>
      </w:tblGrid>
      <w:tr w14:paraId="0BDDE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blHeader/>
        </w:trPr>
        <w:tc>
          <w:tcPr>
            <w:tcW w:w="981" w:type="dxa"/>
            <w:tcBorders>
              <w:tl2br w:val="nil"/>
              <w:tr2bl w:val="nil"/>
            </w:tcBorders>
            <w:shd w:val="clear" w:color="auto" w:fill="auto"/>
            <w:vAlign w:val="center"/>
          </w:tcPr>
          <w:p w14:paraId="724D3DDA">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080" w:type="dxa"/>
            <w:tcBorders>
              <w:tl2br w:val="nil"/>
              <w:tr2bl w:val="nil"/>
            </w:tcBorders>
            <w:shd w:val="clear" w:color="auto" w:fill="auto"/>
            <w:vAlign w:val="center"/>
          </w:tcPr>
          <w:p w14:paraId="53792EA6">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255" w:type="dxa"/>
            <w:tcBorders>
              <w:tl2br w:val="nil"/>
              <w:tr2bl w:val="nil"/>
            </w:tcBorders>
            <w:shd w:val="clear" w:color="auto" w:fill="auto"/>
            <w:vAlign w:val="center"/>
          </w:tcPr>
          <w:p w14:paraId="70B0B248">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17326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981" w:type="dxa"/>
            <w:tcBorders>
              <w:tl2br w:val="nil"/>
              <w:tr2bl w:val="nil"/>
            </w:tcBorders>
            <w:shd w:val="clear" w:color="auto" w:fill="auto"/>
            <w:vAlign w:val="center"/>
          </w:tcPr>
          <w:p w14:paraId="27C6411F">
            <w:pPr>
              <w:keepNext w:val="0"/>
              <w:keepLines w:val="0"/>
              <w:widowControl/>
              <w:suppressLineNumbers w:val="0"/>
              <w:jc w:val="left"/>
            </w:pPr>
            <w:r>
              <w:rPr>
                <w:rFonts w:ascii="宋体" w:hAnsi="宋体" w:eastAsia="宋体" w:cs="宋体"/>
                <w:kern w:val="0"/>
                <w:sz w:val="24"/>
                <w:szCs w:val="24"/>
                <w:lang w:val="en-US" w:eastAsia="zh-CN" w:bidi="ar"/>
              </w:rPr>
              <w:t>B1、业绩</w:t>
            </w:r>
          </w:p>
        </w:tc>
        <w:tc>
          <w:tcPr>
            <w:tcW w:w="1080" w:type="dxa"/>
            <w:tcBorders>
              <w:tl2br w:val="nil"/>
              <w:tr2bl w:val="nil"/>
            </w:tcBorders>
            <w:shd w:val="clear" w:color="auto" w:fill="auto"/>
            <w:vAlign w:val="center"/>
          </w:tcPr>
          <w:p w14:paraId="1ADCBE35">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255" w:type="dxa"/>
            <w:tcBorders>
              <w:tl2br w:val="nil"/>
              <w:tr2bl w:val="nil"/>
            </w:tcBorders>
            <w:shd w:val="clear" w:color="auto" w:fill="auto"/>
            <w:vAlign w:val="center"/>
          </w:tcPr>
          <w:p w14:paraId="74F2DA89">
            <w:pPr>
              <w:keepNext w:val="0"/>
              <w:keepLines w:val="0"/>
              <w:widowControl/>
              <w:suppressLineNumbers w:val="0"/>
              <w:jc w:val="left"/>
            </w:pPr>
            <w:r>
              <w:rPr>
                <w:rFonts w:ascii="宋体" w:hAnsi="宋体" w:eastAsia="宋体" w:cs="宋体"/>
                <w:kern w:val="0"/>
                <w:sz w:val="24"/>
                <w:szCs w:val="24"/>
                <w:lang w:val="en-US" w:eastAsia="zh-CN" w:bidi="ar"/>
              </w:rPr>
              <w:t>根据投标人所提供的从2016年1月1日起至本次投标截止日期(日期以验收报告时间为准)在国内所完成的同类项目业绩情况进行打分，每提供一份得1分，满分3分。【投标人须列表并提供该业绩项目的中标公告（提供相关网站中标公告的下载网页并注明网址）、中标通知书复印件、采购合同文本复印件，以及能够证明该业绩项目已经采购人验收合格的相关证明文件复印件，所有材料缺一不可，否则不得分。原件备查。】</w:t>
            </w:r>
          </w:p>
        </w:tc>
      </w:tr>
      <w:tr w14:paraId="02C64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81" w:type="dxa"/>
            <w:tcBorders>
              <w:tl2br w:val="nil"/>
              <w:tr2bl w:val="nil"/>
            </w:tcBorders>
            <w:shd w:val="clear" w:color="auto" w:fill="auto"/>
            <w:vAlign w:val="center"/>
          </w:tcPr>
          <w:p w14:paraId="318D1FEA">
            <w:pPr>
              <w:keepNext w:val="0"/>
              <w:keepLines w:val="0"/>
              <w:widowControl/>
              <w:suppressLineNumbers w:val="0"/>
              <w:jc w:val="left"/>
            </w:pPr>
            <w:r>
              <w:rPr>
                <w:rFonts w:ascii="宋体" w:hAnsi="宋体" w:eastAsia="宋体" w:cs="宋体"/>
                <w:kern w:val="0"/>
                <w:sz w:val="24"/>
                <w:szCs w:val="24"/>
                <w:lang w:val="en-US" w:eastAsia="zh-CN" w:bidi="ar"/>
              </w:rPr>
              <w:t>B2、经营年限</w:t>
            </w:r>
          </w:p>
        </w:tc>
        <w:tc>
          <w:tcPr>
            <w:tcW w:w="1080" w:type="dxa"/>
            <w:tcBorders>
              <w:tl2br w:val="nil"/>
              <w:tr2bl w:val="nil"/>
            </w:tcBorders>
            <w:shd w:val="clear" w:color="auto" w:fill="auto"/>
            <w:vAlign w:val="center"/>
          </w:tcPr>
          <w:p w14:paraId="0C2E5E9A">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255" w:type="dxa"/>
            <w:tcBorders>
              <w:tl2br w:val="nil"/>
              <w:tr2bl w:val="nil"/>
            </w:tcBorders>
            <w:shd w:val="clear" w:color="auto" w:fill="auto"/>
            <w:vAlign w:val="center"/>
          </w:tcPr>
          <w:p w14:paraId="7666CDC1">
            <w:pPr>
              <w:keepNext w:val="0"/>
              <w:keepLines w:val="0"/>
              <w:widowControl/>
              <w:suppressLineNumbers w:val="0"/>
              <w:jc w:val="left"/>
            </w:pPr>
            <w:r>
              <w:rPr>
                <w:rFonts w:ascii="宋体" w:hAnsi="宋体" w:eastAsia="宋体" w:cs="宋体"/>
                <w:kern w:val="0"/>
                <w:sz w:val="24"/>
                <w:szCs w:val="24"/>
                <w:lang w:val="en-US" w:eastAsia="zh-CN" w:bidi="ar"/>
              </w:rPr>
              <w:t>根据投标人经营年限(以营业执照为准)进行评分：投标人经营年限大于10年的，每增加1年得1分。（满分2分）注：须提供营业执照复印件，否则不得分。</w:t>
            </w:r>
          </w:p>
        </w:tc>
      </w:tr>
      <w:tr w14:paraId="1F306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981" w:type="dxa"/>
            <w:tcBorders>
              <w:tl2br w:val="nil"/>
              <w:tr2bl w:val="nil"/>
            </w:tcBorders>
            <w:shd w:val="clear" w:color="auto" w:fill="auto"/>
            <w:vAlign w:val="center"/>
          </w:tcPr>
          <w:p w14:paraId="119FE16E">
            <w:pPr>
              <w:keepNext w:val="0"/>
              <w:keepLines w:val="0"/>
              <w:widowControl/>
              <w:suppressLineNumbers w:val="0"/>
              <w:jc w:val="left"/>
            </w:pPr>
            <w:r>
              <w:rPr>
                <w:rFonts w:ascii="宋体" w:hAnsi="宋体" w:eastAsia="宋体" w:cs="宋体"/>
                <w:kern w:val="0"/>
                <w:sz w:val="24"/>
                <w:szCs w:val="24"/>
                <w:lang w:val="en-US" w:eastAsia="zh-CN" w:bidi="ar"/>
              </w:rPr>
              <w:t>B3、售后服务</w:t>
            </w:r>
          </w:p>
        </w:tc>
        <w:tc>
          <w:tcPr>
            <w:tcW w:w="1080" w:type="dxa"/>
            <w:tcBorders>
              <w:tl2br w:val="nil"/>
              <w:tr2bl w:val="nil"/>
            </w:tcBorders>
            <w:shd w:val="clear" w:color="auto" w:fill="auto"/>
            <w:vAlign w:val="center"/>
          </w:tcPr>
          <w:p w14:paraId="411507E6">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255" w:type="dxa"/>
            <w:tcBorders>
              <w:tl2br w:val="nil"/>
              <w:tr2bl w:val="nil"/>
            </w:tcBorders>
            <w:shd w:val="clear" w:color="auto" w:fill="auto"/>
            <w:vAlign w:val="center"/>
          </w:tcPr>
          <w:p w14:paraId="3E2F45CE">
            <w:pPr>
              <w:keepNext w:val="0"/>
              <w:keepLines w:val="0"/>
              <w:widowControl/>
              <w:suppressLineNumbers w:val="0"/>
              <w:jc w:val="left"/>
            </w:pPr>
            <w:r>
              <w:rPr>
                <w:rFonts w:ascii="宋体" w:hAnsi="宋体" w:eastAsia="宋体" w:cs="宋体"/>
                <w:kern w:val="0"/>
                <w:sz w:val="24"/>
                <w:szCs w:val="24"/>
                <w:lang w:val="en-US" w:eastAsia="zh-CN" w:bidi="ar"/>
              </w:rPr>
              <w:t>根据投标人提供的售后服务承诺、反馈方式，维护响应时间、响应方式等情况进行评分，售后服务承诺优于招标文件，响应时间短，响应方式多样的得3分，售后服务承诺较好，售后服务响应内容一般的的1分；未提供任何售后服务承诺的得0分。</w:t>
            </w:r>
          </w:p>
        </w:tc>
      </w:tr>
      <w:tr w14:paraId="56710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81" w:type="dxa"/>
            <w:tcBorders>
              <w:tl2br w:val="nil"/>
              <w:tr2bl w:val="nil"/>
            </w:tcBorders>
            <w:shd w:val="clear" w:color="auto" w:fill="auto"/>
            <w:vAlign w:val="center"/>
          </w:tcPr>
          <w:p w14:paraId="147D9505">
            <w:pPr>
              <w:keepNext w:val="0"/>
              <w:keepLines w:val="0"/>
              <w:widowControl/>
              <w:suppressLineNumbers w:val="0"/>
              <w:jc w:val="left"/>
            </w:pPr>
            <w:r>
              <w:rPr>
                <w:rFonts w:ascii="宋体" w:hAnsi="宋体" w:eastAsia="宋体" w:cs="宋体"/>
                <w:kern w:val="0"/>
                <w:sz w:val="24"/>
                <w:szCs w:val="24"/>
                <w:lang w:val="en-US" w:eastAsia="zh-CN" w:bidi="ar"/>
              </w:rPr>
              <w:t>B4-1、综合实力</w:t>
            </w:r>
          </w:p>
        </w:tc>
        <w:tc>
          <w:tcPr>
            <w:tcW w:w="1080" w:type="dxa"/>
            <w:tcBorders>
              <w:tl2br w:val="nil"/>
              <w:tr2bl w:val="nil"/>
            </w:tcBorders>
            <w:shd w:val="clear" w:color="auto" w:fill="auto"/>
            <w:vAlign w:val="center"/>
          </w:tcPr>
          <w:p w14:paraId="7AE49F6E">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255" w:type="dxa"/>
            <w:tcBorders>
              <w:tl2br w:val="nil"/>
              <w:tr2bl w:val="nil"/>
            </w:tcBorders>
            <w:shd w:val="clear" w:color="auto" w:fill="auto"/>
            <w:vAlign w:val="center"/>
          </w:tcPr>
          <w:p w14:paraId="050C7671">
            <w:pPr>
              <w:keepNext w:val="0"/>
              <w:keepLines w:val="0"/>
              <w:widowControl/>
              <w:suppressLineNumbers w:val="0"/>
              <w:jc w:val="left"/>
            </w:pPr>
            <w:r>
              <w:rPr>
                <w:rFonts w:ascii="宋体" w:hAnsi="宋体" w:eastAsia="宋体" w:cs="宋体"/>
                <w:kern w:val="0"/>
                <w:sz w:val="24"/>
                <w:szCs w:val="24"/>
                <w:lang w:val="en-US" w:eastAsia="zh-CN" w:bidi="ar"/>
              </w:rPr>
              <w:t>根据投标人具有有效期内的ISO9001质量管理体系认证、ISO14001环境管理体系认证、职业健康安全管理体系认证的，每提供一项得1分，满分3分，未获认证或认证无效的不得分。投标人须同时提供有效证书复印件和全国认证认可信息公共服务平台（http://cx.cnca.cn）的查询结果“有效”的截图或网页打印件，并注明网址。</w:t>
            </w:r>
          </w:p>
        </w:tc>
      </w:tr>
      <w:tr w14:paraId="46F0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81" w:type="dxa"/>
            <w:tcBorders>
              <w:tl2br w:val="nil"/>
              <w:tr2bl w:val="nil"/>
            </w:tcBorders>
            <w:shd w:val="clear" w:color="auto" w:fill="auto"/>
            <w:vAlign w:val="center"/>
          </w:tcPr>
          <w:p w14:paraId="036E6BF5">
            <w:pPr>
              <w:keepNext w:val="0"/>
              <w:keepLines w:val="0"/>
              <w:widowControl/>
              <w:suppressLineNumbers w:val="0"/>
              <w:jc w:val="left"/>
            </w:pPr>
            <w:r>
              <w:rPr>
                <w:rFonts w:ascii="宋体" w:hAnsi="宋体" w:eastAsia="宋体" w:cs="宋体"/>
                <w:kern w:val="0"/>
                <w:sz w:val="24"/>
                <w:szCs w:val="24"/>
                <w:lang w:val="en-US" w:eastAsia="zh-CN" w:bidi="ar"/>
              </w:rPr>
              <w:t>B4-2、综合实力</w:t>
            </w:r>
          </w:p>
        </w:tc>
        <w:tc>
          <w:tcPr>
            <w:tcW w:w="1080" w:type="dxa"/>
            <w:tcBorders>
              <w:tl2br w:val="nil"/>
              <w:tr2bl w:val="nil"/>
            </w:tcBorders>
            <w:shd w:val="clear" w:color="auto" w:fill="auto"/>
            <w:vAlign w:val="center"/>
          </w:tcPr>
          <w:p w14:paraId="00A9E659">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255" w:type="dxa"/>
            <w:tcBorders>
              <w:tl2br w:val="nil"/>
              <w:tr2bl w:val="nil"/>
            </w:tcBorders>
            <w:shd w:val="clear" w:color="auto" w:fill="auto"/>
            <w:vAlign w:val="center"/>
          </w:tcPr>
          <w:p w14:paraId="4C738D72">
            <w:pPr>
              <w:keepNext w:val="0"/>
              <w:keepLines w:val="0"/>
              <w:widowControl/>
              <w:suppressLineNumbers w:val="0"/>
              <w:jc w:val="left"/>
            </w:pPr>
            <w:r>
              <w:rPr>
                <w:rFonts w:ascii="宋体" w:hAnsi="宋体" w:eastAsia="宋体" w:cs="宋体"/>
                <w:kern w:val="0"/>
                <w:sz w:val="24"/>
                <w:szCs w:val="24"/>
                <w:lang w:val="en-US" w:eastAsia="zh-CN" w:bidi="ar"/>
              </w:rPr>
              <w:t>投标人获得第三方认证机构颁发的AAA级企业信用等级证书的得1分。（须提供复印件并加盖公章，原件备查）</w:t>
            </w:r>
          </w:p>
        </w:tc>
      </w:tr>
      <w:tr w14:paraId="54D5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81" w:type="dxa"/>
            <w:tcBorders>
              <w:tl2br w:val="nil"/>
              <w:tr2bl w:val="nil"/>
            </w:tcBorders>
            <w:shd w:val="clear" w:color="auto" w:fill="auto"/>
            <w:vAlign w:val="center"/>
          </w:tcPr>
          <w:p w14:paraId="7E104348">
            <w:pPr>
              <w:keepNext w:val="0"/>
              <w:keepLines w:val="0"/>
              <w:widowControl/>
              <w:suppressLineNumbers w:val="0"/>
              <w:jc w:val="left"/>
            </w:pPr>
            <w:r>
              <w:rPr>
                <w:rFonts w:ascii="宋体" w:hAnsi="宋体" w:eastAsia="宋体" w:cs="宋体"/>
                <w:kern w:val="0"/>
                <w:sz w:val="24"/>
                <w:szCs w:val="24"/>
                <w:lang w:val="en-US" w:eastAsia="zh-CN" w:bidi="ar"/>
              </w:rPr>
              <w:t>B4-3、综合实力</w:t>
            </w:r>
          </w:p>
        </w:tc>
        <w:tc>
          <w:tcPr>
            <w:tcW w:w="1080" w:type="dxa"/>
            <w:tcBorders>
              <w:tl2br w:val="nil"/>
              <w:tr2bl w:val="nil"/>
            </w:tcBorders>
            <w:shd w:val="clear" w:color="auto" w:fill="auto"/>
            <w:vAlign w:val="center"/>
          </w:tcPr>
          <w:p w14:paraId="71F8393D">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255" w:type="dxa"/>
            <w:tcBorders>
              <w:tl2br w:val="nil"/>
              <w:tr2bl w:val="nil"/>
            </w:tcBorders>
            <w:shd w:val="clear" w:color="auto" w:fill="auto"/>
            <w:vAlign w:val="center"/>
          </w:tcPr>
          <w:p w14:paraId="18126A35">
            <w:pPr>
              <w:keepNext w:val="0"/>
              <w:keepLines w:val="0"/>
              <w:widowControl/>
              <w:suppressLineNumbers w:val="0"/>
              <w:jc w:val="left"/>
            </w:pPr>
            <w:r>
              <w:rPr>
                <w:rFonts w:ascii="宋体" w:hAnsi="宋体" w:eastAsia="宋体" w:cs="宋体"/>
                <w:kern w:val="0"/>
                <w:sz w:val="24"/>
                <w:szCs w:val="24"/>
                <w:lang w:val="en-US" w:eastAsia="zh-CN" w:bidi="ar"/>
              </w:rPr>
              <w:t>投标人获得省级或以上政府部门、工商部门或者第三方认证机构颁发的 “重合同守信用”证书的得1分，（须提供复印件并加盖公章，原件备查）。</w:t>
            </w:r>
          </w:p>
        </w:tc>
      </w:tr>
      <w:tr w14:paraId="5FA1E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981" w:type="dxa"/>
            <w:tcBorders>
              <w:tl2br w:val="nil"/>
              <w:tr2bl w:val="nil"/>
            </w:tcBorders>
            <w:shd w:val="clear" w:color="auto" w:fill="auto"/>
            <w:vAlign w:val="center"/>
          </w:tcPr>
          <w:p w14:paraId="120C4ADB">
            <w:pPr>
              <w:keepNext w:val="0"/>
              <w:keepLines w:val="0"/>
              <w:widowControl/>
              <w:suppressLineNumbers w:val="0"/>
              <w:jc w:val="left"/>
            </w:pPr>
            <w:r>
              <w:rPr>
                <w:rFonts w:ascii="宋体" w:hAnsi="宋体" w:eastAsia="宋体" w:cs="宋体"/>
                <w:kern w:val="0"/>
                <w:sz w:val="24"/>
                <w:szCs w:val="24"/>
                <w:lang w:val="en-US" w:eastAsia="zh-CN" w:bidi="ar"/>
              </w:rPr>
              <w:t>B4-4、综合实力</w:t>
            </w:r>
          </w:p>
        </w:tc>
        <w:tc>
          <w:tcPr>
            <w:tcW w:w="1080" w:type="dxa"/>
            <w:tcBorders>
              <w:tl2br w:val="nil"/>
              <w:tr2bl w:val="nil"/>
            </w:tcBorders>
            <w:shd w:val="clear" w:color="auto" w:fill="auto"/>
            <w:vAlign w:val="center"/>
          </w:tcPr>
          <w:p w14:paraId="0A46C307">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255" w:type="dxa"/>
            <w:tcBorders>
              <w:tl2br w:val="nil"/>
              <w:tr2bl w:val="nil"/>
            </w:tcBorders>
            <w:shd w:val="clear" w:color="auto" w:fill="auto"/>
            <w:vAlign w:val="center"/>
          </w:tcPr>
          <w:p w14:paraId="55C1D796">
            <w:pPr>
              <w:keepNext w:val="0"/>
              <w:keepLines w:val="0"/>
              <w:widowControl/>
              <w:suppressLineNumbers w:val="0"/>
              <w:jc w:val="left"/>
            </w:pPr>
            <w:r>
              <w:rPr>
                <w:rFonts w:ascii="宋体" w:hAnsi="宋体" w:eastAsia="宋体" w:cs="宋体"/>
                <w:kern w:val="0"/>
                <w:sz w:val="24"/>
                <w:szCs w:val="24"/>
                <w:lang w:val="en-US" w:eastAsia="zh-CN" w:bidi="ar"/>
              </w:rPr>
              <w:t>投标人被收录为民政部救灾司、国家减灾中心编制的《自然灾害应急救助物资生产商参考名录（2019版）》的得2分。注：须提供相关证明材料，否则不得分。（满分2分）</w:t>
            </w:r>
          </w:p>
        </w:tc>
      </w:tr>
    </w:tbl>
    <w:p w14:paraId="5FA517D7">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78AD5CB6">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FBEEFFC">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63ADC94">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8DA9197">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97D8E42">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13C8FEC">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7568A43E">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36E7EB7">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④加分项（</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w:t>
      </w:r>
    </w:p>
    <w:p w14:paraId="530AEE3F">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a.优先类节能产品、环境标志产品：</w:t>
      </w:r>
    </w:p>
    <w:p w14:paraId="4A183837">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20%</w:t>
      </w:r>
      <w:r>
        <w:rPr>
          <w:rFonts w:hint="eastAsia" w:ascii="宋体" w:hAnsi="宋体" w:eastAsia="宋体" w:cs="宋体"/>
          <w:sz w:val="24"/>
          <w:szCs w:val="24"/>
        </w:rPr>
        <w:t>（含</w:t>
      </w:r>
      <w:r>
        <w:rPr>
          <w:rFonts w:hint="default" w:ascii="Calibri" w:hAnsi="Calibri" w:eastAsia="宋体" w:cs="Calibri"/>
          <w:sz w:val="24"/>
          <w:szCs w:val="24"/>
        </w:rPr>
        <w:t>20%</w:t>
      </w:r>
      <w:r>
        <w:rPr>
          <w:rFonts w:hint="eastAsia" w:ascii="宋体" w:hAnsi="宋体" w:eastAsia="宋体" w:cs="宋体"/>
          <w:sz w:val="24"/>
          <w:szCs w:val="24"/>
        </w:rPr>
        <w:t>）以下，将分别给予节能、环境标志产品价格项（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4%</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20%-50%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6%</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50%</w:t>
      </w:r>
      <w:r>
        <w:rPr>
          <w:rFonts w:hint="eastAsia" w:ascii="宋体" w:hAnsi="宋体" w:eastAsia="宋体" w:cs="宋体"/>
          <w:sz w:val="24"/>
          <w:szCs w:val="24"/>
        </w:rPr>
        <w:t>以上的，将分别给予节能、环境标志产品价格项（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8%</w:t>
      </w:r>
      <w:r>
        <w:rPr>
          <w:rFonts w:hint="eastAsia" w:ascii="宋体" w:hAnsi="宋体" w:eastAsia="宋体" w:cs="宋体"/>
          <w:sz w:val="24"/>
          <w:szCs w:val="24"/>
        </w:rPr>
        <w:t>的加分。</w:t>
      </w:r>
    </w:p>
    <w:p w14:paraId="68FA8EEB">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a2若节能、环境标志产品仅是构成投标产品的部件、组件或零件，则该投标产品不享受鼓励优惠政策。同一品目中各认证证书不重复计算加分。强制类节能产品不享受加分。</w:t>
      </w:r>
    </w:p>
    <w:tbl>
      <w:tblPr>
        <w:tblStyle w:val="6"/>
        <w:tblW w:w="8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01"/>
        <w:gridCol w:w="1139"/>
        <w:gridCol w:w="6080"/>
      </w:tblGrid>
      <w:tr w14:paraId="64256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1294" w:hRule="atLeast"/>
          <w:tblHeader/>
        </w:trPr>
        <w:tc>
          <w:tcPr>
            <w:tcW w:w="1001" w:type="dxa"/>
            <w:tcBorders>
              <w:tl2br w:val="nil"/>
              <w:tr2bl w:val="nil"/>
            </w:tcBorders>
            <w:shd w:val="clear" w:color="auto" w:fill="auto"/>
            <w:vAlign w:val="center"/>
          </w:tcPr>
          <w:p w14:paraId="26A2543A">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139" w:type="dxa"/>
            <w:tcBorders>
              <w:tl2br w:val="nil"/>
              <w:tr2bl w:val="nil"/>
            </w:tcBorders>
            <w:shd w:val="clear" w:color="auto" w:fill="auto"/>
            <w:vAlign w:val="center"/>
          </w:tcPr>
          <w:p w14:paraId="502730DE">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080" w:type="dxa"/>
            <w:tcBorders>
              <w:tl2br w:val="nil"/>
              <w:tr2bl w:val="nil"/>
            </w:tcBorders>
            <w:shd w:val="clear" w:color="auto" w:fill="auto"/>
            <w:vAlign w:val="center"/>
          </w:tcPr>
          <w:p w14:paraId="67254838">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0030D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1001" w:type="dxa"/>
            <w:tcBorders>
              <w:tl2br w:val="nil"/>
              <w:tr2bl w:val="nil"/>
            </w:tcBorders>
            <w:shd w:val="clear" w:color="auto" w:fill="auto"/>
            <w:vAlign w:val="center"/>
          </w:tcPr>
          <w:p w14:paraId="42BD8BFB">
            <w:pPr>
              <w:keepNext w:val="0"/>
              <w:keepLines w:val="0"/>
              <w:widowControl/>
              <w:suppressLineNumbers w:val="0"/>
              <w:jc w:val="left"/>
            </w:pPr>
            <w:r>
              <w:rPr>
                <w:rFonts w:ascii="宋体" w:hAnsi="宋体" w:eastAsia="宋体" w:cs="宋体"/>
                <w:kern w:val="0"/>
                <w:sz w:val="24"/>
                <w:szCs w:val="24"/>
                <w:lang w:val="en-US" w:eastAsia="zh-CN" w:bidi="ar"/>
              </w:rPr>
              <w:t>节能、减排、环境标志产品部分</w:t>
            </w:r>
          </w:p>
        </w:tc>
        <w:tc>
          <w:tcPr>
            <w:tcW w:w="1139" w:type="dxa"/>
            <w:tcBorders>
              <w:tl2br w:val="nil"/>
              <w:tr2bl w:val="nil"/>
            </w:tcBorders>
            <w:shd w:val="clear" w:color="auto" w:fill="auto"/>
            <w:vAlign w:val="center"/>
          </w:tcPr>
          <w:p w14:paraId="6588F4DE">
            <w:pPr>
              <w:keepNext w:val="0"/>
              <w:keepLines w:val="0"/>
              <w:widowControl/>
              <w:suppressLineNumbers w:val="0"/>
              <w:jc w:val="center"/>
            </w:pPr>
            <w:r>
              <w:rPr>
                <w:rFonts w:ascii="宋体" w:hAnsi="宋体" w:eastAsia="宋体" w:cs="宋体"/>
                <w:kern w:val="0"/>
                <w:sz w:val="24"/>
                <w:szCs w:val="24"/>
                <w:lang w:val="en-US" w:eastAsia="zh-CN" w:bidi="ar"/>
              </w:rPr>
              <w:t>6.8</w:t>
            </w:r>
          </w:p>
        </w:tc>
        <w:tc>
          <w:tcPr>
            <w:tcW w:w="6080" w:type="dxa"/>
            <w:tcBorders>
              <w:tl2br w:val="nil"/>
              <w:tr2bl w:val="nil"/>
            </w:tcBorders>
            <w:shd w:val="clear" w:color="auto" w:fill="auto"/>
            <w:vAlign w:val="center"/>
          </w:tcPr>
          <w:p w14:paraId="630590DF">
            <w:pPr>
              <w:keepNext w:val="0"/>
              <w:keepLines w:val="0"/>
              <w:widowControl/>
              <w:suppressLineNumbers w:val="0"/>
              <w:jc w:val="left"/>
            </w:pPr>
            <w:r>
              <w:rPr>
                <w:rFonts w:ascii="宋体" w:hAnsi="宋体" w:eastAsia="宋体" w:cs="宋体"/>
                <w:kern w:val="0"/>
                <w:sz w:val="24"/>
                <w:szCs w:val="24"/>
                <w:lang w:val="en-US" w:eastAsia="zh-CN" w:bidi="ar"/>
              </w:rPr>
              <w:t>（1）根据《国务院办公厅关于建立政府强制采购节能产品制度的通知》(国办发[2007]51号)和财政部、发展改革委发布的《节能产品政府采购实施意见》(财库[2004]185号)以及《财政部、国家发展改革委关于调整节能产品政府采购清单的通知》财库〔2017〕129号的规定，节能清单中的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为政府强制采购的节能产品(具体品目以“★”标注)，本次采购货物中属政府强制采购节能产品的，投标人所投产品必须是财政部、国家发展改革委公示的《节能产品政府采购清单》内产品，并提供产品的证明资料复印件加盖投标人公章，否则投标无效。 (2)节能(非强制类产品)、减排、环境标志产品评审优惠内容及幅度如下： ①、若同一合同包内的节能(非强制类产品)、减排、环境标志产品报价总金额低于本合同包报价总金额20%(含20%)以下的，将分别给予节能、减排、环境标志产品价格评标项和技术评标项标准总分值4％的加分； ②、若同一合同包内节能(非强制类产品)、减排、环境标志产品报价总金额占本合同包报价总金额20%-50%(含50%)的，将分别给予节能、减排、环境标志产品在价格评标项和技术评标项标准总分值6％的加分； ③、若同一合同包内节能(非强制类产品)、减排、环境标志产品报价总金额占本合同包报价总金额50%以上的，将分别给予节能、减排、环境标志产品在价格评标项和技术评标项标准总分值8％的加分。 注：本次政府采购活动已经开展但尚未进入评审环节的，执行本期和下期节能清单。对于同时列入财政部、环境保护部公示的《环境标志产品政府采购清单》和财政部、国家发展改革委公示的《节能产品政府采购清单》的产品，应当优先于只获得其中一项认证的产品。 投标人在投标时必须对属于节能、减排、环境标志产品单独在节能（非强制类）、环境标志产品统计表中填写，并提供产品的证明资料复印件附在报价部分(电子证明资料应上传在对应评分模块)且加盖投标人公章。未单独分项报价或未按规定提供产品的证明资料的不给予加分。投标产品属于节能、减排、环境标志清单内产品的，可享受相关的鼓励优惠政策；若节能、减排、环境标志清单内的产品仅是构成投标产品的部件、组件或零件的，则该投标产品不享受鼓励优惠政策。评标委员会审查此项响应性只根据投标文件本身的内容，而不寻求其他的外部证据。</w:t>
            </w:r>
          </w:p>
        </w:tc>
      </w:tr>
    </w:tbl>
    <w:p w14:paraId="5FF19277">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（4）中标候选人排列规则顺序如下：</w:t>
      </w:r>
    </w:p>
    <w:p w14:paraId="69CB19CF">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a.按照评标总得分（</w:t>
      </w:r>
      <w:r>
        <w:rPr>
          <w:rFonts w:hint="default" w:ascii="Calibri" w:hAnsi="Calibri" w:eastAsia="宋体" w:cs="Calibri"/>
          <w:sz w:val="24"/>
          <w:szCs w:val="24"/>
        </w:rPr>
        <w:t>FA</w:t>
      </w:r>
      <w:r>
        <w:rPr>
          <w:rFonts w:hint="eastAsia" w:ascii="宋体" w:hAnsi="宋体" w:eastAsia="宋体" w:cs="宋体"/>
          <w:sz w:val="24"/>
          <w:szCs w:val="24"/>
        </w:rPr>
        <w:t>）由高到低顺序排列。</w:t>
      </w:r>
    </w:p>
    <w:p w14:paraId="103991CD">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b.评标总得分（</w:t>
      </w:r>
      <w:r>
        <w:rPr>
          <w:rFonts w:hint="default" w:ascii="Calibri" w:hAnsi="Calibri" w:eastAsia="宋体" w:cs="Calibri"/>
          <w:sz w:val="24"/>
          <w:szCs w:val="24"/>
        </w:rPr>
        <w:t>FA</w:t>
      </w:r>
      <w:r>
        <w:rPr>
          <w:rFonts w:hint="eastAsia" w:ascii="宋体" w:hAnsi="宋体" w:eastAsia="宋体" w:cs="宋体"/>
          <w:sz w:val="24"/>
          <w:szCs w:val="24"/>
        </w:rPr>
        <w:t>）相同的，按照评标价（即价格扣除后的投标报价）由低到高顺序排列。</w:t>
      </w:r>
    </w:p>
    <w:p w14:paraId="468652A6">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c.评标总得分（</w:t>
      </w:r>
      <w:r>
        <w:rPr>
          <w:rFonts w:hint="default" w:ascii="Calibri" w:hAnsi="Calibri" w:eastAsia="宋体" w:cs="Calibri"/>
          <w:sz w:val="24"/>
          <w:szCs w:val="24"/>
        </w:rPr>
        <w:t>FA</w:t>
      </w:r>
      <w:r>
        <w:rPr>
          <w:rFonts w:hint="eastAsia" w:ascii="宋体" w:hAnsi="宋体" w:eastAsia="宋体" w:cs="宋体"/>
          <w:sz w:val="24"/>
          <w:szCs w:val="24"/>
        </w:rPr>
        <w:t>）且评标价（即价格扣除后的投标报价）相同的并列。</w:t>
      </w:r>
    </w:p>
    <w:p w14:paraId="3C1B38CE">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1B05D7FF">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26FFA1C2">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2C05E288">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73E2D0EB">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0B7D798D">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3AD0B172">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05B7D7AC">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157F9F40">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11AF3D69">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7F262383">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0321097A">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128B8134">
      <w:pPr>
        <w:pStyle w:val="5"/>
        <w:keepNext w:val="0"/>
        <w:keepLines w:val="0"/>
        <w:widowControl/>
        <w:suppressLineNumbers w:val="0"/>
        <w:shd w:val="clear" w:fill="FFFFFF"/>
        <w:spacing w:before="0" w:beforeAutospacing="0" w:after="150" w:afterAutospacing="0"/>
        <w:ind w:left="0" w:right="0"/>
        <w:rPr>
          <w:rFonts w:hint="eastAsia" w:ascii="微软雅黑" w:hAnsi="微软雅黑" w:eastAsia="微软雅黑" w:cs="微软雅黑"/>
          <w:color w:val="393939"/>
          <w:sz w:val="19"/>
          <w:szCs w:val="19"/>
        </w:rPr>
      </w:pPr>
      <w:r>
        <w:rPr>
          <w:rStyle w:val="8"/>
          <w:rFonts w:hint="eastAsia" w:ascii="宋体" w:hAnsi="宋体" w:eastAsia="宋体" w:cs="宋体"/>
          <w:b/>
          <w:color w:val="393939"/>
          <w:sz w:val="24"/>
          <w:szCs w:val="24"/>
          <w:shd w:val="clear" w:fill="FFFFFF"/>
        </w:rPr>
        <w:t>合同包5采用综合评分法</w:t>
      </w:r>
      <w:r>
        <w:rPr>
          <w:rFonts w:hint="eastAsia" w:ascii="宋体" w:hAnsi="宋体" w:eastAsia="宋体" w:cs="宋体"/>
          <w:color w:val="393939"/>
          <w:sz w:val="24"/>
          <w:szCs w:val="24"/>
          <w:shd w:val="clear" w:fill="FFFFFF"/>
        </w:rPr>
        <w:t>：</w:t>
      </w:r>
    </w:p>
    <w:p w14:paraId="51188317">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（1）投标文件满足招标文件全部实质性要求，且按照评审因素的量化指标评审得分（即评标总得分）最高的投标人为中标候选人。</w:t>
      </w:r>
    </w:p>
    <w:p w14:paraId="7830F5BA">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（2）每个投标人的评标总得分</w:t>
      </w:r>
      <w:r>
        <w:rPr>
          <w:rFonts w:hint="default" w:ascii="Calibri" w:hAnsi="Calibri" w:eastAsia="宋体" w:cs="Calibri"/>
          <w:sz w:val="24"/>
          <w:szCs w:val="24"/>
        </w:rPr>
        <w:t>FA</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（若有），其中：</w:t>
      </w:r>
      <w:r>
        <w:rPr>
          <w:rFonts w:hint="default" w:ascii="Calibri" w:hAnsi="Calibri" w:eastAsia="宋体" w:cs="Calibri"/>
          <w:sz w:val="24"/>
          <w:szCs w:val="24"/>
        </w:rPr>
        <w:t>F1</w:t>
      </w:r>
      <w:r>
        <w:rPr>
          <w:rFonts w:hint="eastAsia" w:ascii="宋体" w:hAnsi="宋体" w:eastAsia="宋体" w:cs="宋体"/>
          <w:sz w:val="24"/>
          <w:szCs w:val="24"/>
        </w:rPr>
        <w:t>指价格项评审因素得分、</w:t>
      </w:r>
      <w:r>
        <w:rPr>
          <w:rFonts w:hint="default" w:ascii="Calibri" w:hAnsi="Calibri" w:eastAsia="宋体" w:cs="Calibri"/>
          <w:sz w:val="24"/>
          <w:szCs w:val="24"/>
        </w:rPr>
        <w:t>F2</w:t>
      </w:r>
      <w:r>
        <w:rPr>
          <w:rFonts w:hint="eastAsia" w:ascii="宋体" w:hAnsi="宋体" w:eastAsia="宋体" w:cs="宋体"/>
          <w:sz w:val="24"/>
          <w:szCs w:val="24"/>
        </w:rPr>
        <w:t>指技术项评审因素得分、</w:t>
      </w:r>
      <w:r>
        <w:rPr>
          <w:rFonts w:hint="default" w:ascii="Calibri" w:hAnsi="Calibri" w:eastAsia="宋体" w:cs="Calibri"/>
          <w:sz w:val="24"/>
          <w:szCs w:val="24"/>
        </w:rPr>
        <w:t>F3</w:t>
      </w:r>
      <w:r>
        <w:rPr>
          <w:rFonts w:hint="eastAsia" w:ascii="宋体" w:hAnsi="宋体" w:eastAsia="宋体" w:cs="宋体"/>
          <w:sz w:val="24"/>
          <w:szCs w:val="24"/>
        </w:rPr>
        <w:t>指商务项评审因素得分，</w:t>
      </w:r>
      <w:r>
        <w:rPr>
          <w:rFonts w:hint="default" w:ascii="Calibri" w:hAnsi="Calibri" w:eastAsia="宋体" w:cs="Calibri"/>
          <w:sz w:val="24"/>
          <w:szCs w:val="24"/>
        </w:rPr>
        <w:t>A1</w:t>
      </w:r>
      <w:r>
        <w:rPr>
          <w:rFonts w:hint="eastAsia" w:ascii="宋体" w:hAnsi="宋体" w:eastAsia="宋体" w:cs="宋体"/>
          <w:sz w:val="24"/>
          <w:szCs w:val="24"/>
        </w:rPr>
        <w:t>指价格项评审因素所占的权重、</w:t>
      </w:r>
      <w:r>
        <w:rPr>
          <w:rFonts w:hint="default" w:ascii="Calibri" w:hAnsi="Calibri" w:eastAsia="宋体" w:cs="Calibri"/>
          <w:sz w:val="24"/>
          <w:szCs w:val="24"/>
        </w:rPr>
        <w:t>A2</w:t>
      </w:r>
      <w:r>
        <w:rPr>
          <w:rFonts w:hint="eastAsia" w:ascii="宋体" w:hAnsi="宋体" w:eastAsia="宋体" w:cs="宋体"/>
          <w:sz w:val="24"/>
          <w:szCs w:val="24"/>
        </w:rPr>
        <w:t>指技术项评审因素所占的权重、</w:t>
      </w:r>
      <w:r>
        <w:rPr>
          <w:rFonts w:hint="default" w:ascii="Calibri" w:hAnsi="Calibri" w:eastAsia="宋体" w:cs="Calibri"/>
          <w:sz w:val="24"/>
          <w:szCs w:val="24"/>
        </w:rPr>
        <w:t>A3</w:t>
      </w:r>
      <w:r>
        <w:rPr>
          <w:rFonts w:hint="eastAsia" w:ascii="宋体" w:hAnsi="宋体" w:eastAsia="宋体" w:cs="宋体"/>
          <w:sz w:val="24"/>
          <w:szCs w:val="24"/>
        </w:rPr>
        <w:t>指商务项评审因素所占的权重，</w:t>
      </w:r>
      <w:r>
        <w:rPr>
          <w:rFonts w:hint="default" w:ascii="Calibri" w:hAnsi="Calibri" w:eastAsia="宋体" w:cs="Calibri"/>
          <w:sz w:val="24"/>
          <w:szCs w:val="24"/>
        </w:rPr>
        <w:t>A1+A2+A3=1</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A3=100</w:t>
      </w:r>
      <w:r>
        <w:rPr>
          <w:rFonts w:hint="eastAsia" w:ascii="宋体" w:hAnsi="宋体" w:eastAsia="宋体" w:cs="宋体"/>
          <w:sz w:val="24"/>
          <w:szCs w:val="24"/>
        </w:rPr>
        <w:t>分（满分时），</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为加分项（即优先类节能产品、环境标志产品在采购活动中可享有的加分优惠）。</w:t>
      </w:r>
    </w:p>
    <w:p w14:paraId="0B10119E">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（3）各项评审因素的设置如下：</w:t>
      </w:r>
    </w:p>
    <w:p w14:paraId="3D1DFC5F">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①价格项（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）满分为</w:t>
      </w:r>
      <w:r>
        <w:rPr>
          <w:rFonts w:hint="eastAsia" w:ascii="宋体" w:hAnsi="宋体" w:eastAsia="宋体" w:cs="宋体"/>
          <w:sz w:val="24"/>
          <w:szCs w:val="24"/>
          <w:u w:val="single"/>
        </w:rPr>
        <w:t>30</w:t>
      </w:r>
      <w:r>
        <w:rPr>
          <w:rFonts w:hint="eastAsia" w:ascii="宋体" w:hAnsi="宋体" w:eastAsia="宋体" w:cs="宋体"/>
          <w:sz w:val="24"/>
          <w:szCs w:val="24"/>
        </w:rPr>
        <w:t>分。</w:t>
      </w:r>
    </w:p>
    <w:p w14:paraId="76DA3C75">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24"/>
          <w:szCs w:val="24"/>
        </w:rPr>
        <w:t>=</w:t>
      </w:r>
      <w:r>
        <w:rPr>
          <w:rFonts w:hint="eastAsia" w:ascii="宋体" w:hAnsi="宋体" w:eastAsia="宋体" w:cs="宋体"/>
          <w:sz w:val="24"/>
          <w:szCs w:val="24"/>
        </w:rPr>
        <w:t>（评标基准价／投标报价）×</w:t>
      </w:r>
      <w:r>
        <w:rPr>
          <w:rFonts w:hint="default" w:ascii="Calibri" w:hAnsi="Calibri" w:eastAsia="宋体" w:cs="Calibri"/>
          <w:sz w:val="24"/>
          <w:szCs w:val="24"/>
        </w:rPr>
        <w:t>100</w:t>
      </w:r>
      <w:r>
        <w:rPr>
          <w:rFonts w:hint="eastAsia" w:ascii="宋体" w:hAnsi="宋体" w:eastAsia="宋体" w:cs="宋体"/>
          <w:sz w:val="24"/>
          <w:szCs w:val="24"/>
        </w:rPr>
        <w:t>。因落实政府采购政策需进行价格扣除的，以扣除后的价格计算评标基准价和投标报价。</w:t>
      </w:r>
    </w:p>
    <w:p w14:paraId="4EC5855D">
      <w:pPr>
        <w:pStyle w:val="5"/>
        <w:keepNext w:val="0"/>
        <w:keepLines w:val="0"/>
        <w:widowControl/>
        <w:suppressLineNumbers w:val="0"/>
        <w:spacing w:before="0" w:beforeAutospacing="0" w:after="150" w:afterAutospacing="0"/>
        <w:ind w:left="0" w:right="0" w:firstLine="480"/>
      </w:pPr>
      <w:r>
        <w:rPr>
          <w:rFonts w:hint="default" w:ascii="Calibri" w:hAnsi="Calibri" w:cs="Calibri"/>
          <w:sz w:val="24"/>
          <w:szCs w:val="24"/>
        </w:rPr>
        <w:t>b.</w:t>
      </w:r>
      <w:r>
        <w:rPr>
          <w:rFonts w:hint="eastAsia" w:ascii="宋体" w:hAnsi="宋体" w:eastAsia="宋体" w:cs="宋体"/>
          <w:sz w:val="24"/>
          <w:szCs w:val="24"/>
        </w:rPr>
        <w:t>价格扣除的规则如下：</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71"/>
        <w:gridCol w:w="7151"/>
      </w:tblGrid>
      <w:tr w14:paraId="5167D46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14:paraId="32A4DC44">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14:paraId="77F8329D">
            <w:pPr>
              <w:keepNext w:val="0"/>
              <w:keepLines w:val="0"/>
              <w:widowControl/>
              <w:suppressLineNumbers w:val="0"/>
              <w:jc w:val="center"/>
            </w:pPr>
            <w:r>
              <w:rPr>
                <w:rFonts w:ascii="宋体" w:hAnsi="宋体" w:eastAsia="宋体" w:cs="宋体"/>
                <w:kern w:val="0"/>
                <w:sz w:val="24"/>
                <w:szCs w:val="24"/>
                <w:lang w:val="en-US" w:eastAsia="zh-CN" w:bidi="ar"/>
              </w:rPr>
              <w:t>评标方法</w:t>
            </w:r>
          </w:p>
        </w:tc>
      </w:tr>
      <w:tr w14:paraId="482B765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14:paraId="72561B8E">
            <w:pPr>
              <w:keepNext w:val="0"/>
              <w:keepLines w:val="0"/>
              <w:widowControl/>
              <w:suppressLineNumbers w:val="0"/>
              <w:jc w:val="left"/>
            </w:pPr>
            <w:r>
              <w:rPr>
                <w:rFonts w:ascii="宋体" w:hAnsi="宋体" w:eastAsia="宋体" w:cs="宋体"/>
                <w:kern w:val="0"/>
                <w:sz w:val="24"/>
                <w:szCs w:val="24"/>
                <w:lang w:val="en-US" w:eastAsia="zh-CN" w:bidi="ar"/>
              </w:rPr>
              <w:t>小型、微型企业，监狱企业，残疾人</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14:paraId="186772B4">
            <w:pPr>
              <w:keepNext w:val="0"/>
              <w:keepLines w:val="0"/>
              <w:widowControl/>
              <w:suppressLineNumbers w:val="0"/>
              <w:jc w:val="left"/>
            </w:pPr>
            <w:r>
              <w:rPr>
                <w:rStyle w:val="8"/>
                <w:rFonts w:ascii="宋体" w:hAnsi="宋体" w:eastAsia="宋体" w:cs="宋体"/>
                <w:b/>
                <w:kern w:val="0"/>
                <w:sz w:val="24"/>
                <w:szCs w:val="24"/>
                <w:lang w:val="en-US" w:eastAsia="zh-CN" w:bidi="ar"/>
              </w:rPr>
              <w:t>小型、微型企业，监狱企业，残疾人 《政府采购促进中小企业发展暂行办法》价格的扣除：1、根据财政部、工信部印发的《政府采购促进中小企业发展暂行办法》财库〔2011〕181号，本办法所称中小企业(含中型、小型、微型企业，下同)应当同时符合以下条件：(1)符合中小企业划分标准；(2)提供本企业制造的货物、承担的工程或者服务，或者提供其他中小企业制造的货物。本项所称货物不包括使用大型企业注册商标的货物。本办法所称中小企业划分标准，是指国务院有关部门根据企业从业人员、营业收入、资产总额等指标制定的中小企业划型标准。小型、微型企业提供中型企业制造的货物的，视同为中型企业。2、本项目为非专门面向中小企业的项目，对小型和微型企业产品的价格给予6%的扣除，用扣除后的价格参与评审。残疾人集中就业企业、监狱企业视同小型和微型企业，享受评审中价格扣除的政府采购政策。3、参加政府采购活动的中小企业应当提供《政府采购促进中小企业发展暂行办法》规定的《中小企业声明函》(见第七章投标文件格式)。4、政府采购对中小企业的认定，由企业所在地的县级以上中小企业主管部门负责。须提供中小企业主管部门的证明函，否则不予价格扣除。5、监狱企业参加政府采购活动时，应当提供由省级以上监狱管理局、戒毒管理局(含新疆生产建设兵团)出具的属于监狱企业的证明文件，否则不予价格扣除。注：投标人在报价时必须对提供本企业制造的货物、承担的工程或者服务，或者提供其他中小企业制造的货物单独在小型、微型企业产品统计表中填写，并提供相关证明资料复印件附在报价部分(电子证明资料应上传在对应评分模块)且加盖投标人公章。未单独分项报价或未按规定提供相关证明资料的不给予价格扣除。评标委员会审查此项响应性只根据投标文件本身的内容，而不寻求其他的外部证据。残疾人福利性单位产品《三部门联合发布关于促进残疾人就业政府采购政策的通知》价格的扣除：1、根据财政部、民政部、中国残疾人联合会印发的《三部门联合发布关于促进残疾人就业政府采购政策的通知》财库〔2017〕141号，依照《政府采购法》、《残疾人保障法》等法律法规及相关规定，享受政府采购支持政策的残疾人福利性单位应当同时满足以下条件：(1)安置的残疾人占本单位在职职工人数的比例不低于25%(含25%)，并且安置的残疾人人数不少于10人(含10人)；(2)依法与安置的每位残疾人签订了一年以上(含一年)的劳动合同或服务协议；(3)为安置的每位残疾人按月足额缴纳了基本养老保险、基本医疗保险、失业保险、工伤保险和生育保险等社会保险费；(4)通过银行等金融机构向安置的每位残疾人，按月支付了不低于单位所在区县适用的经省级人民政府批准的月最低工资标准的工资；(5)提供本单位制造的货物、承担的工程或者服务(以下简称产品)，或者提供其他残疾人福利性单位制造的货物(不包括使用非残疾人福利性单位注册商标的货物)。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2、符合条件的残疾人福利性单位在参加政府采购活动时，应当提供《三部门联合发布关于促进残疾人就业政府采购政策的通知》规定的《残疾人福利性单位声明函》(见招标文件格式)，并对声明的真实性负责。3、在政府采购活动中，残疾人福利性单位视同小型、微型企业，享受“《政府采购促进中小企业发展暂行办法》价格的扣除”的政府采购政策。残疾人福利性单位属于小型、微型企业的，不重复享受政策。</w:t>
            </w:r>
          </w:p>
        </w:tc>
      </w:tr>
    </w:tbl>
    <w:p w14:paraId="66E11160">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22E1997A">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5F5D4DDD">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FDA1FD2">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54F20C28">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E2653B9">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0AAEDB0">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6D5E73E5">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54F4392C">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20ACE19">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26CE582">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2F48D14A">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F100405">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②技术项（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）满分为</w:t>
      </w:r>
      <w:r>
        <w:rPr>
          <w:rFonts w:hint="eastAsia" w:ascii="宋体" w:hAnsi="宋体" w:eastAsia="宋体" w:cs="宋体"/>
          <w:sz w:val="24"/>
          <w:szCs w:val="24"/>
          <w:u w:val="single"/>
        </w:rPr>
        <w:t>55</w:t>
      </w:r>
      <w:r>
        <w:rPr>
          <w:rFonts w:hint="eastAsia" w:ascii="宋体" w:hAnsi="宋体" w:eastAsia="宋体" w:cs="宋体"/>
          <w:sz w:val="24"/>
          <w:szCs w:val="24"/>
        </w:rPr>
        <w:t>分。</w:t>
      </w:r>
    </w:p>
    <w:tbl>
      <w:tblPr>
        <w:tblStyle w:val="6"/>
        <w:tblW w:w="828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212"/>
        <w:gridCol w:w="1033"/>
        <w:gridCol w:w="6035"/>
      </w:tblGrid>
      <w:tr w14:paraId="7F66DEE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09" w:hRule="atLeast"/>
          <w:tblHeader/>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14:paraId="4909CFC0">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033" w:type="dxa"/>
            <w:tcBorders>
              <w:top w:val="outset" w:color="auto" w:sz="6" w:space="0"/>
              <w:left w:val="outset" w:color="auto" w:sz="6" w:space="0"/>
              <w:bottom w:val="outset" w:color="auto" w:sz="6" w:space="0"/>
              <w:right w:val="outset" w:color="auto" w:sz="6" w:space="0"/>
            </w:tcBorders>
            <w:shd w:val="clear" w:color="auto" w:fill="auto"/>
            <w:vAlign w:val="center"/>
          </w:tcPr>
          <w:p w14:paraId="69A64E25">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035" w:type="dxa"/>
            <w:tcBorders>
              <w:top w:val="outset" w:color="auto" w:sz="6" w:space="0"/>
              <w:left w:val="outset" w:color="auto" w:sz="6" w:space="0"/>
              <w:bottom w:val="outset" w:color="auto" w:sz="6" w:space="0"/>
              <w:right w:val="outset" w:color="auto" w:sz="6" w:space="0"/>
            </w:tcBorders>
            <w:shd w:val="clear" w:color="auto" w:fill="auto"/>
            <w:vAlign w:val="center"/>
          </w:tcPr>
          <w:p w14:paraId="3ED01BCD">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31A1E4D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937"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14:paraId="51A70B3B">
            <w:pPr>
              <w:keepNext w:val="0"/>
              <w:keepLines w:val="0"/>
              <w:widowControl/>
              <w:suppressLineNumbers w:val="0"/>
              <w:jc w:val="left"/>
            </w:pPr>
            <w:r>
              <w:rPr>
                <w:rFonts w:ascii="宋体" w:hAnsi="宋体" w:eastAsia="宋体" w:cs="宋体"/>
                <w:kern w:val="0"/>
                <w:sz w:val="24"/>
                <w:szCs w:val="24"/>
                <w:lang w:val="en-US" w:eastAsia="zh-CN" w:bidi="ar"/>
              </w:rPr>
              <w:t>A1、所投货物技术的响应情况</w:t>
            </w:r>
          </w:p>
        </w:tc>
        <w:tc>
          <w:tcPr>
            <w:tcW w:w="1033" w:type="dxa"/>
            <w:tcBorders>
              <w:top w:val="outset" w:color="auto" w:sz="6" w:space="0"/>
              <w:left w:val="outset" w:color="auto" w:sz="6" w:space="0"/>
              <w:bottom w:val="outset" w:color="auto" w:sz="6" w:space="0"/>
              <w:right w:val="outset" w:color="auto" w:sz="6" w:space="0"/>
            </w:tcBorders>
            <w:shd w:val="clear" w:color="auto" w:fill="auto"/>
            <w:vAlign w:val="center"/>
          </w:tcPr>
          <w:p w14:paraId="363B61CF">
            <w:pPr>
              <w:keepNext w:val="0"/>
              <w:keepLines w:val="0"/>
              <w:widowControl/>
              <w:suppressLineNumbers w:val="0"/>
              <w:jc w:val="center"/>
            </w:pPr>
            <w:r>
              <w:rPr>
                <w:rFonts w:ascii="宋体" w:hAnsi="宋体" w:eastAsia="宋体" w:cs="宋体"/>
                <w:kern w:val="0"/>
                <w:sz w:val="24"/>
                <w:szCs w:val="24"/>
                <w:lang w:val="en-US" w:eastAsia="zh-CN" w:bidi="ar"/>
              </w:rPr>
              <w:t>38</w:t>
            </w:r>
          </w:p>
        </w:tc>
        <w:tc>
          <w:tcPr>
            <w:tcW w:w="6035" w:type="dxa"/>
            <w:tcBorders>
              <w:top w:val="outset" w:color="auto" w:sz="6" w:space="0"/>
              <w:left w:val="outset" w:color="auto" w:sz="6" w:space="0"/>
              <w:bottom w:val="outset" w:color="auto" w:sz="6" w:space="0"/>
              <w:right w:val="outset" w:color="auto" w:sz="6" w:space="0"/>
            </w:tcBorders>
            <w:shd w:val="clear" w:color="auto" w:fill="auto"/>
            <w:vAlign w:val="center"/>
          </w:tcPr>
          <w:p w14:paraId="5DCBC4CF">
            <w:pPr>
              <w:keepNext w:val="0"/>
              <w:keepLines w:val="0"/>
              <w:widowControl/>
              <w:suppressLineNumbers w:val="0"/>
              <w:jc w:val="left"/>
            </w:pPr>
            <w:r>
              <w:rPr>
                <w:rFonts w:ascii="宋体" w:hAnsi="宋体" w:eastAsia="宋体" w:cs="宋体"/>
                <w:kern w:val="0"/>
                <w:sz w:val="24"/>
                <w:szCs w:val="24"/>
                <w:lang w:val="en-US" w:eastAsia="zh-CN" w:bidi="ar"/>
              </w:rPr>
              <w:t>根据投标人对招标文件第五章《招标内容及要求》二、技术和服务要求“合同包5：“折叠床”参数要求的逐项响应、承诺的情况由评委进行评议评分，投标人所投产品完全满足招标文件技术规范及要求的得38分，有负偏离情况的，每负偏离一项扣3分，扣完为止，正偏离不加分。（满分38分）</w:t>
            </w:r>
          </w:p>
        </w:tc>
      </w:tr>
      <w:tr w14:paraId="6EB52B8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480"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14:paraId="6BF45132">
            <w:pPr>
              <w:keepNext w:val="0"/>
              <w:keepLines w:val="0"/>
              <w:widowControl/>
              <w:suppressLineNumbers w:val="0"/>
              <w:jc w:val="left"/>
            </w:pPr>
            <w:r>
              <w:rPr>
                <w:rFonts w:ascii="宋体" w:hAnsi="宋体" w:eastAsia="宋体" w:cs="宋体"/>
                <w:kern w:val="0"/>
                <w:sz w:val="24"/>
                <w:szCs w:val="24"/>
                <w:lang w:val="en-US" w:eastAsia="zh-CN" w:bidi="ar"/>
              </w:rPr>
              <w:t>A2、生产情况说明</w:t>
            </w:r>
          </w:p>
        </w:tc>
        <w:tc>
          <w:tcPr>
            <w:tcW w:w="1033" w:type="dxa"/>
            <w:tcBorders>
              <w:top w:val="outset" w:color="auto" w:sz="6" w:space="0"/>
              <w:left w:val="outset" w:color="auto" w:sz="6" w:space="0"/>
              <w:bottom w:val="outset" w:color="auto" w:sz="6" w:space="0"/>
              <w:right w:val="outset" w:color="auto" w:sz="6" w:space="0"/>
            </w:tcBorders>
            <w:shd w:val="clear" w:color="auto" w:fill="auto"/>
            <w:vAlign w:val="center"/>
          </w:tcPr>
          <w:p w14:paraId="55CEC289">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35" w:type="dxa"/>
            <w:tcBorders>
              <w:top w:val="outset" w:color="auto" w:sz="6" w:space="0"/>
              <w:left w:val="outset" w:color="auto" w:sz="6" w:space="0"/>
              <w:bottom w:val="outset" w:color="auto" w:sz="6" w:space="0"/>
              <w:right w:val="outset" w:color="auto" w:sz="6" w:space="0"/>
            </w:tcBorders>
            <w:shd w:val="clear" w:color="auto" w:fill="auto"/>
            <w:vAlign w:val="center"/>
          </w:tcPr>
          <w:p w14:paraId="05F3AB3D">
            <w:pPr>
              <w:keepNext w:val="0"/>
              <w:keepLines w:val="0"/>
              <w:widowControl/>
              <w:suppressLineNumbers w:val="0"/>
              <w:jc w:val="left"/>
            </w:pPr>
            <w:r>
              <w:rPr>
                <w:rFonts w:ascii="宋体" w:hAnsi="宋体" w:eastAsia="宋体" w:cs="宋体"/>
                <w:kern w:val="0"/>
                <w:sz w:val="24"/>
                <w:szCs w:val="24"/>
                <w:lang w:val="en-US" w:eastAsia="zh-CN" w:bidi="ar"/>
              </w:rPr>
              <w:t>根据投标人提供的生产计划，生产方案、产品工艺流程说明、加工设备清单等进行横向评议，由评委在0～3分之间进行评分。</w:t>
            </w:r>
          </w:p>
        </w:tc>
      </w:tr>
      <w:tr w14:paraId="7FA0154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966"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14:paraId="5D01E623">
            <w:pPr>
              <w:keepNext w:val="0"/>
              <w:keepLines w:val="0"/>
              <w:widowControl/>
              <w:suppressLineNumbers w:val="0"/>
              <w:jc w:val="left"/>
            </w:pPr>
            <w:r>
              <w:rPr>
                <w:rFonts w:ascii="宋体" w:hAnsi="宋体" w:eastAsia="宋体" w:cs="宋体"/>
                <w:kern w:val="0"/>
                <w:sz w:val="24"/>
                <w:szCs w:val="24"/>
                <w:lang w:val="en-US" w:eastAsia="zh-CN" w:bidi="ar"/>
              </w:rPr>
              <w:t>A3、项目保障措施</w:t>
            </w:r>
          </w:p>
        </w:tc>
        <w:tc>
          <w:tcPr>
            <w:tcW w:w="1033" w:type="dxa"/>
            <w:tcBorders>
              <w:top w:val="outset" w:color="auto" w:sz="6" w:space="0"/>
              <w:left w:val="outset" w:color="auto" w:sz="6" w:space="0"/>
              <w:bottom w:val="outset" w:color="auto" w:sz="6" w:space="0"/>
              <w:right w:val="outset" w:color="auto" w:sz="6" w:space="0"/>
            </w:tcBorders>
            <w:shd w:val="clear" w:color="auto" w:fill="auto"/>
            <w:vAlign w:val="center"/>
          </w:tcPr>
          <w:p w14:paraId="56545534">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35" w:type="dxa"/>
            <w:tcBorders>
              <w:top w:val="outset" w:color="auto" w:sz="6" w:space="0"/>
              <w:left w:val="outset" w:color="auto" w:sz="6" w:space="0"/>
              <w:bottom w:val="outset" w:color="auto" w:sz="6" w:space="0"/>
              <w:right w:val="outset" w:color="auto" w:sz="6" w:space="0"/>
            </w:tcBorders>
            <w:shd w:val="clear" w:color="auto" w:fill="auto"/>
            <w:vAlign w:val="center"/>
          </w:tcPr>
          <w:p w14:paraId="676C2E8E">
            <w:pPr>
              <w:keepNext w:val="0"/>
              <w:keepLines w:val="0"/>
              <w:widowControl/>
              <w:suppressLineNumbers w:val="0"/>
              <w:jc w:val="left"/>
            </w:pPr>
            <w:r>
              <w:rPr>
                <w:rFonts w:ascii="宋体" w:hAnsi="宋体" w:eastAsia="宋体" w:cs="宋体"/>
                <w:kern w:val="0"/>
                <w:sz w:val="24"/>
                <w:szCs w:val="24"/>
                <w:lang w:val="en-US" w:eastAsia="zh-CN" w:bidi="ar"/>
              </w:rPr>
              <w:t>根据投标人提供的产品检测方案、质量保障，供货保障方案详细程度等进行横向评议，保障方案罗列齐全详细且保障方案可行性强的得3分；方案一般但较为合理的得2分，保障方案不合理或未提供保障方案的本项不得分。</w:t>
            </w:r>
          </w:p>
        </w:tc>
      </w:tr>
      <w:tr w14:paraId="78E39CC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94"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14:paraId="441B6043">
            <w:pPr>
              <w:keepNext w:val="0"/>
              <w:keepLines w:val="0"/>
              <w:widowControl/>
              <w:suppressLineNumbers w:val="0"/>
              <w:jc w:val="left"/>
            </w:pPr>
            <w:r>
              <w:rPr>
                <w:rFonts w:ascii="宋体" w:hAnsi="宋体" w:eastAsia="宋体" w:cs="宋体"/>
                <w:kern w:val="0"/>
                <w:sz w:val="24"/>
                <w:szCs w:val="24"/>
                <w:lang w:val="en-US" w:eastAsia="zh-CN" w:bidi="ar"/>
              </w:rPr>
              <w:t>A4-1、样品情况</w:t>
            </w:r>
          </w:p>
        </w:tc>
        <w:tc>
          <w:tcPr>
            <w:tcW w:w="1033" w:type="dxa"/>
            <w:tcBorders>
              <w:top w:val="outset" w:color="auto" w:sz="6" w:space="0"/>
              <w:left w:val="outset" w:color="auto" w:sz="6" w:space="0"/>
              <w:bottom w:val="outset" w:color="auto" w:sz="6" w:space="0"/>
              <w:right w:val="outset" w:color="auto" w:sz="6" w:space="0"/>
            </w:tcBorders>
            <w:shd w:val="clear" w:color="auto" w:fill="auto"/>
            <w:vAlign w:val="center"/>
          </w:tcPr>
          <w:p w14:paraId="6EAD1B97">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35" w:type="dxa"/>
            <w:tcBorders>
              <w:top w:val="outset" w:color="auto" w:sz="6" w:space="0"/>
              <w:left w:val="outset" w:color="auto" w:sz="6" w:space="0"/>
              <w:bottom w:val="outset" w:color="auto" w:sz="6" w:space="0"/>
              <w:right w:val="outset" w:color="auto" w:sz="6" w:space="0"/>
            </w:tcBorders>
            <w:shd w:val="clear" w:color="auto" w:fill="auto"/>
            <w:vAlign w:val="center"/>
          </w:tcPr>
          <w:p w14:paraId="71E0F132">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根据投标人所提供样品的整体质量情况由评委在0～3分之间进行评分。</w:t>
            </w:r>
          </w:p>
        </w:tc>
      </w:tr>
      <w:tr w14:paraId="21F5468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94"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14:paraId="04E75051">
            <w:pPr>
              <w:keepNext w:val="0"/>
              <w:keepLines w:val="0"/>
              <w:widowControl/>
              <w:suppressLineNumbers w:val="0"/>
              <w:jc w:val="left"/>
            </w:pPr>
            <w:r>
              <w:rPr>
                <w:rFonts w:ascii="宋体" w:hAnsi="宋体" w:eastAsia="宋体" w:cs="宋体"/>
                <w:kern w:val="0"/>
                <w:sz w:val="24"/>
                <w:szCs w:val="24"/>
                <w:lang w:val="en-US" w:eastAsia="zh-CN" w:bidi="ar"/>
              </w:rPr>
              <w:t>A4-2、样品情况</w:t>
            </w:r>
          </w:p>
        </w:tc>
        <w:tc>
          <w:tcPr>
            <w:tcW w:w="1033" w:type="dxa"/>
            <w:tcBorders>
              <w:top w:val="outset" w:color="auto" w:sz="6" w:space="0"/>
              <w:left w:val="outset" w:color="auto" w:sz="6" w:space="0"/>
              <w:bottom w:val="outset" w:color="auto" w:sz="6" w:space="0"/>
              <w:right w:val="outset" w:color="auto" w:sz="6" w:space="0"/>
            </w:tcBorders>
            <w:shd w:val="clear" w:color="auto" w:fill="auto"/>
            <w:vAlign w:val="center"/>
          </w:tcPr>
          <w:p w14:paraId="35DB1909">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35" w:type="dxa"/>
            <w:tcBorders>
              <w:top w:val="outset" w:color="auto" w:sz="6" w:space="0"/>
              <w:left w:val="outset" w:color="auto" w:sz="6" w:space="0"/>
              <w:bottom w:val="outset" w:color="auto" w:sz="6" w:space="0"/>
              <w:right w:val="outset" w:color="auto" w:sz="6" w:space="0"/>
            </w:tcBorders>
            <w:shd w:val="clear" w:color="auto" w:fill="auto"/>
            <w:vAlign w:val="center"/>
          </w:tcPr>
          <w:p w14:paraId="4F68FA52">
            <w:pPr>
              <w:keepNext w:val="0"/>
              <w:keepLines w:val="0"/>
              <w:widowControl/>
              <w:suppressLineNumbers w:val="0"/>
              <w:jc w:val="left"/>
            </w:pPr>
            <w:r>
              <w:rPr>
                <w:rFonts w:ascii="宋体" w:hAnsi="宋体" w:eastAsia="宋体" w:cs="宋体"/>
                <w:kern w:val="0"/>
                <w:sz w:val="24"/>
                <w:szCs w:val="24"/>
                <w:lang w:val="en-US" w:eastAsia="zh-CN" w:bidi="ar"/>
              </w:rPr>
              <w:t>根据投标人所提供样品的面料情况由评委在0～3分之间进行评分。</w:t>
            </w:r>
          </w:p>
        </w:tc>
      </w:tr>
      <w:tr w14:paraId="17FFB51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94"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14:paraId="103FB764">
            <w:pPr>
              <w:keepNext w:val="0"/>
              <w:keepLines w:val="0"/>
              <w:widowControl/>
              <w:suppressLineNumbers w:val="0"/>
              <w:jc w:val="left"/>
            </w:pPr>
            <w:r>
              <w:rPr>
                <w:rFonts w:ascii="宋体" w:hAnsi="宋体" w:eastAsia="宋体" w:cs="宋体"/>
                <w:kern w:val="0"/>
                <w:sz w:val="24"/>
                <w:szCs w:val="24"/>
                <w:lang w:val="en-US" w:eastAsia="zh-CN" w:bidi="ar"/>
              </w:rPr>
              <w:t>A4-3、样品情况</w:t>
            </w:r>
          </w:p>
        </w:tc>
        <w:tc>
          <w:tcPr>
            <w:tcW w:w="1033" w:type="dxa"/>
            <w:tcBorders>
              <w:top w:val="outset" w:color="auto" w:sz="6" w:space="0"/>
              <w:left w:val="outset" w:color="auto" w:sz="6" w:space="0"/>
              <w:bottom w:val="outset" w:color="auto" w:sz="6" w:space="0"/>
              <w:right w:val="outset" w:color="auto" w:sz="6" w:space="0"/>
            </w:tcBorders>
            <w:shd w:val="clear" w:color="auto" w:fill="auto"/>
            <w:vAlign w:val="center"/>
          </w:tcPr>
          <w:p w14:paraId="15B01BE2">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35" w:type="dxa"/>
            <w:tcBorders>
              <w:top w:val="outset" w:color="auto" w:sz="6" w:space="0"/>
              <w:left w:val="outset" w:color="auto" w:sz="6" w:space="0"/>
              <w:bottom w:val="outset" w:color="auto" w:sz="6" w:space="0"/>
              <w:right w:val="outset" w:color="auto" w:sz="6" w:space="0"/>
            </w:tcBorders>
            <w:shd w:val="clear" w:color="auto" w:fill="auto"/>
            <w:vAlign w:val="center"/>
          </w:tcPr>
          <w:p w14:paraId="139C9E67">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根据投标人所提供样品的整体工艺水平由评委在0～3分之间进行评分。</w:t>
            </w:r>
          </w:p>
        </w:tc>
      </w:tr>
      <w:tr w14:paraId="447CF9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018"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14:paraId="0DC798F4">
            <w:pPr>
              <w:keepNext w:val="0"/>
              <w:keepLines w:val="0"/>
              <w:widowControl/>
              <w:suppressLineNumbers w:val="0"/>
              <w:jc w:val="left"/>
            </w:pPr>
            <w:r>
              <w:rPr>
                <w:rFonts w:ascii="宋体" w:hAnsi="宋体" w:eastAsia="宋体" w:cs="宋体"/>
                <w:kern w:val="0"/>
                <w:sz w:val="24"/>
                <w:szCs w:val="24"/>
                <w:lang w:val="en-US" w:eastAsia="zh-CN" w:bidi="ar"/>
              </w:rPr>
              <w:t>A4-4、样品情况</w:t>
            </w:r>
          </w:p>
        </w:tc>
        <w:tc>
          <w:tcPr>
            <w:tcW w:w="1033" w:type="dxa"/>
            <w:tcBorders>
              <w:top w:val="outset" w:color="auto" w:sz="6" w:space="0"/>
              <w:left w:val="outset" w:color="auto" w:sz="6" w:space="0"/>
              <w:bottom w:val="outset" w:color="auto" w:sz="6" w:space="0"/>
              <w:right w:val="outset" w:color="auto" w:sz="6" w:space="0"/>
            </w:tcBorders>
            <w:shd w:val="clear" w:color="auto" w:fill="auto"/>
            <w:vAlign w:val="center"/>
          </w:tcPr>
          <w:p w14:paraId="2AE3038B">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035" w:type="dxa"/>
            <w:tcBorders>
              <w:top w:val="outset" w:color="auto" w:sz="6" w:space="0"/>
              <w:left w:val="outset" w:color="auto" w:sz="6" w:space="0"/>
              <w:bottom w:val="outset" w:color="auto" w:sz="6" w:space="0"/>
              <w:right w:val="outset" w:color="auto" w:sz="6" w:space="0"/>
            </w:tcBorders>
            <w:shd w:val="clear" w:color="auto" w:fill="auto"/>
            <w:vAlign w:val="center"/>
          </w:tcPr>
          <w:p w14:paraId="4E64E24E">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根据投标人所提供样品的手感情况由评委在0～2分之间进行评分。</w:t>
            </w:r>
          </w:p>
        </w:tc>
      </w:tr>
    </w:tbl>
    <w:p w14:paraId="53B7E6EA">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238FB42">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AA948F6">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644E56E">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642711D7">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2231BD04">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③商务项（</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）满分为</w:t>
      </w:r>
      <w:r>
        <w:rPr>
          <w:rFonts w:hint="eastAsia" w:ascii="宋体" w:hAnsi="宋体" w:eastAsia="宋体" w:cs="宋体"/>
          <w:sz w:val="24"/>
          <w:szCs w:val="24"/>
          <w:u w:val="single"/>
        </w:rPr>
        <w:t>15</w:t>
      </w:r>
      <w:r>
        <w:rPr>
          <w:rFonts w:hint="eastAsia" w:ascii="宋体" w:hAnsi="宋体" w:eastAsia="宋体" w:cs="宋体"/>
          <w:sz w:val="24"/>
          <w:szCs w:val="24"/>
        </w:rPr>
        <w:t>分。</w:t>
      </w:r>
    </w:p>
    <w:tbl>
      <w:tblPr>
        <w:tblStyle w:val="6"/>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91"/>
        <w:gridCol w:w="1051"/>
        <w:gridCol w:w="6258"/>
      </w:tblGrid>
      <w:tr w14:paraId="6F93A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1" w:hRule="atLeast"/>
          <w:tblHeader/>
        </w:trPr>
        <w:tc>
          <w:tcPr>
            <w:tcW w:w="991" w:type="dxa"/>
            <w:tcBorders>
              <w:tl2br w:val="nil"/>
              <w:tr2bl w:val="nil"/>
            </w:tcBorders>
            <w:shd w:val="clear" w:color="auto" w:fill="auto"/>
            <w:vAlign w:val="center"/>
          </w:tcPr>
          <w:p w14:paraId="3CC40377">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051" w:type="dxa"/>
            <w:tcBorders>
              <w:tl2br w:val="nil"/>
              <w:tr2bl w:val="nil"/>
            </w:tcBorders>
            <w:shd w:val="clear" w:color="auto" w:fill="auto"/>
            <w:vAlign w:val="center"/>
          </w:tcPr>
          <w:p w14:paraId="35B0477A">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258" w:type="dxa"/>
            <w:tcBorders>
              <w:tl2br w:val="nil"/>
              <w:tr2bl w:val="nil"/>
            </w:tcBorders>
            <w:shd w:val="clear" w:color="auto" w:fill="auto"/>
            <w:vAlign w:val="center"/>
          </w:tcPr>
          <w:p w14:paraId="79F47FFD">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58056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7" w:hRule="atLeast"/>
        </w:trPr>
        <w:tc>
          <w:tcPr>
            <w:tcW w:w="991" w:type="dxa"/>
            <w:tcBorders>
              <w:tl2br w:val="nil"/>
              <w:tr2bl w:val="nil"/>
            </w:tcBorders>
            <w:shd w:val="clear" w:color="auto" w:fill="auto"/>
            <w:vAlign w:val="center"/>
          </w:tcPr>
          <w:p w14:paraId="787C3E35">
            <w:pPr>
              <w:keepNext w:val="0"/>
              <w:keepLines w:val="0"/>
              <w:widowControl/>
              <w:suppressLineNumbers w:val="0"/>
              <w:jc w:val="left"/>
            </w:pPr>
            <w:r>
              <w:rPr>
                <w:rFonts w:ascii="宋体" w:hAnsi="宋体" w:eastAsia="宋体" w:cs="宋体"/>
                <w:kern w:val="0"/>
                <w:sz w:val="24"/>
                <w:szCs w:val="24"/>
                <w:lang w:val="en-US" w:eastAsia="zh-CN" w:bidi="ar"/>
              </w:rPr>
              <w:t>B1、业绩</w:t>
            </w:r>
          </w:p>
        </w:tc>
        <w:tc>
          <w:tcPr>
            <w:tcW w:w="1051" w:type="dxa"/>
            <w:tcBorders>
              <w:tl2br w:val="nil"/>
              <w:tr2bl w:val="nil"/>
            </w:tcBorders>
            <w:shd w:val="clear" w:color="auto" w:fill="auto"/>
            <w:vAlign w:val="center"/>
          </w:tcPr>
          <w:p w14:paraId="5DE39CB7">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258" w:type="dxa"/>
            <w:tcBorders>
              <w:tl2br w:val="nil"/>
              <w:tr2bl w:val="nil"/>
            </w:tcBorders>
            <w:shd w:val="clear" w:color="auto" w:fill="auto"/>
            <w:vAlign w:val="center"/>
          </w:tcPr>
          <w:p w14:paraId="59397384">
            <w:pPr>
              <w:keepNext w:val="0"/>
              <w:keepLines w:val="0"/>
              <w:widowControl/>
              <w:suppressLineNumbers w:val="0"/>
              <w:jc w:val="left"/>
            </w:pPr>
            <w:r>
              <w:rPr>
                <w:rFonts w:ascii="宋体" w:hAnsi="宋体" w:eastAsia="宋体" w:cs="宋体"/>
                <w:kern w:val="0"/>
                <w:sz w:val="24"/>
                <w:szCs w:val="24"/>
                <w:lang w:val="en-US" w:eastAsia="zh-CN" w:bidi="ar"/>
              </w:rPr>
              <w:t>根据投标人所提供的从2016年1月1日起至本次投标截止日期(日期以验收报告时间为准)在国内所完成的同类项目业绩情况进行打分，每提供一份得1分，满分3分。【投标人须列表并提供该业绩项目的中标公告（提供相关网站中标公告的下载网页并注明网址）、中标通知书复印件、采购合同文本复印件，以及能够证明该业绩项目已经采购人验收合格的相关证明文件复印件，所有材料缺一不可，否则不得分。原件备查。】</w:t>
            </w:r>
          </w:p>
        </w:tc>
      </w:tr>
      <w:tr w14:paraId="5BCDF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3" w:hRule="atLeast"/>
        </w:trPr>
        <w:tc>
          <w:tcPr>
            <w:tcW w:w="991" w:type="dxa"/>
            <w:tcBorders>
              <w:tl2br w:val="nil"/>
              <w:tr2bl w:val="nil"/>
            </w:tcBorders>
            <w:shd w:val="clear" w:color="auto" w:fill="auto"/>
            <w:vAlign w:val="center"/>
          </w:tcPr>
          <w:p w14:paraId="319E1A67">
            <w:pPr>
              <w:keepNext w:val="0"/>
              <w:keepLines w:val="0"/>
              <w:widowControl/>
              <w:suppressLineNumbers w:val="0"/>
              <w:jc w:val="left"/>
            </w:pPr>
            <w:r>
              <w:rPr>
                <w:rFonts w:ascii="宋体" w:hAnsi="宋体" w:eastAsia="宋体" w:cs="宋体"/>
                <w:kern w:val="0"/>
                <w:sz w:val="24"/>
                <w:szCs w:val="24"/>
                <w:lang w:val="en-US" w:eastAsia="zh-CN" w:bidi="ar"/>
              </w:rPr>
              <w:t>B2、经营年限</w:t>
            </w:r>
          </w:p>
        </w:tc>
        <w:tc>
          <w:tcPr>
            <w:tcW w:w="1051" w:type="dxa"/>
            <w:tcBorders>
              <w:tl2br w:val="nil"/>
              <w:tr2bl w:val="nil"/>
            </w:tcBorders>
            <w:shd w:val="clear" w:color="auto" w:fill="auto"/>
            <w:vAlign w:val="center"/>
          </w:tcPr>
          <w:p w14:paraId="02638098">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258" w:type="dxa"/>
            <w:tcBorders>
              <w:tl2br w:val="nil"/>
              <w:tr2bl w:val="nil"/>
            </w:tcBorders>
            <w:shd w:val="clear" w:color="auto" w:fill="auto"/>
            <w:vAlign w:val="center"/>
          </w:tcPr>
          <w:p w14:paraId="2A3FA68E">
            <w:pPr>
              <w:keepNext w:val="0"/>
              <w:keepLines w:val="0"/>
              <w:widowControl/>
              <w:suppressLineNumbers w:val="0"/>
              <w:jc w:val="left"/>
            </w:pPr>
            <w:r>
              <w:rPr>
                <w:rFonts w:ascii="宋体" w:hAnsi="宋体" w:eastAsia="宋体" w:cs="宋体"/>
                <w:kern w:val="0"/>
                <w:sz w:val="24"/>
                <w:szCs w:val="24"/>
                <w:lang w:val="en-US" w:eastAsia="zh-CN" w:bidi="ar"/>
              </w:rPr>
              <w:t>根据投标人经营年限(以营业执照为准)进行评分：投标人经营年限大于10年的，每增加1年得1分。（满分2分）注：须提供营业执照复印件，否则不得分</w:t>
            </w:r>
          </w:p>
        </w:tc>
      </w:tr>
      <w:tr w14:paraId="2899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714" w:hRule="atLeast"/>
        </w:trPr>
        <w:tc>
          <w:tcPr>
            <w:tcW w:w="991" w:type="dxa"/>
            <w:tcBorders>
              <w:tl2br w:val="nil"/>
              <w:tr2bl w:val="nil"/>
            </w:tcBorders>
            <w:shd w:val="clear" w:color="auto" w:fill="auto"/>
            <w:vAlign w:val="center"/>
          </w:tcPr>
          <w:p w14:paraId="274AED51">
            <w:pPr>
              <w:keepNext w:val="0"/>
              <w:keepLines w:val="0"/>
              <w:widowControl/>
              <w:suppressLineNumbers w:val="0"/>
              <w:jc w:val="left"/>
            </w:pPr>
            <w:r>
              <w:rPr>
                <w:rFonts w:ascii="宋体" w:hAnsi="宋体" w:eastAsia="宋体" w:cs="宋体"/>
                <w:kern w:val="0"/>
                <w:sz w:val="24"/>
                <w:szCs w:val="24"/>
                <w:lang w:val="en-US" w:eastAsia="zh-CN" w:bidi="ar"/>
              </w:rPr>
              <w:t>B3、售后服务</w:t>
            </w:r>
          </w:p>
        </w:tc>
        <w:tc>
          <w:tcPr>
            <w:tcW w:w="1051" w:type="dxa"/>
            <w:tcBorders>
              <w:tl2br w:val="nil"/>
              <w:tr2bl w:val="nil"/>
            </w:tcBorders>
            <w:shd w:val="clear" w:color="auto" w:fill="auto"/>
            <w:vAlign w:val="center"/>
          </w:tcPr>
          <w:p w14:paraId="5C601CFF">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258" w:type="dxa"/>
            <w:tcBorders>
              <w:tl2br w:val="nil"/>
              <w:tr2bl w:val="nil"/>
            </w:tcBorders>
            <w:shd w:val="clear" w:color="auto" w:fill="auto"/>
            <w:vAlign w:val="center"/>
          </w:tcPr>
          <w:p w14:paraId="1EF1260F">
            <w:pPr>
              <w:keepNext w:val="0"/>
              <w:keepLines w:val="0"/>
              <w:widowControl/>
              <w:suppressLineNumbers w:val="0"/>
              <w:jc w:val="left"/>
            </w:pPr>
            <w:r>
              <w:rPr>
                <w:rFonts w:ascii="宋体" w:hAnsi="宋体" w:eastAsia="宋体" w:cs="宋体"/>
                <w:kern w:val="0"/>
                <w:sz w:val="24"/>
                <w:szCs w:val="24"/>
                <w:lang w:val="en-US" w:eastAsia="zh-CN" w:bidi="ar"/>
              </w:rPr>
              <w:t>根据投标人提供的售后服务承诺、反馈方式，维护响应时间、响应方式等情况进行评分，售后服务承诺优于招标文件，响应时间短，响应方式多样的得3分，售后服务承诺较好，售后服务响应内容一般的的1分；未提供任何售后服务承诺的得0分。</w:t>
            </w:r>
          </w:p>
        </w:tc>
      </w:tr>
      <w:tr w14:paraId="47FC3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055" w:hRule="atLeast"/>
        </w:trPr>
        <w:tc>
          <w:tcPr>
            <w:tcW w:w="991" w:type="dxa"/>
            <w:tcBorders>
              <w:tl2br w:val="nil"/>
              <w:tr2bl w:val="nil"/>
            </w:tcBorders>
            <w:shd w:val="clear" w:color="auto" w:fill="auto"/>
            <w:vAlign w:val="center"/>
          </w:tcPr>
          <w:p w14:paraId="51F9D995">
            <w:pPr>
              <w:keepNext w:val="0"/>
              <w:keepLines w:val="0"/>
              <w:widowControl/>
              <w:suppressLineNumbers w:val="0"/>
              <w:jc w:val="left"/>
            </w:pPr>
            <w:r>
              <w:rPr>
                <w:rFonts w:ascii="宋体" w:hAnsi="宋体" w:eastAsia="宋体" w:cs="宋体"/>
                <w:kern w:val="0"/>
                <w:sz w:val="24"/>
                <w:szCs w:val="24"/>
                <w:lang w:val="en-US" w:eastAsia="zh-CN" w:bidi="ar"/>
              </w:rPr>
              <w:t>B4-1、综合实力</w:t>
            </w:r>
          </w:p>
        </w:tc>
        <w:tc>
          <w:tcPr>
            <w:tcW w:w="1051" w:type="dxa"/>
            <w:tcBorders>
              <w:tl2br w:val="nil"/>
              <w:tr2bl w:val="nil"/>
            </w:tcBorders>
            <w:shd w:val="clear" w:color="auto" w:fill="auto"/>
            <w:vAlign w:val="center"/>
          </w:tcPr>
          <w:p w14:paraId="76AD373D">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258" w:type="dxa"/>
            <w:tcBorders>
              <w:tl2br w:val="nil"/>
              <w:tr2bl w:val="nil"/>
            </w:tcBorders>
            <w:shd w:val="clear" w:color="auto" w:fill="auto"/>
            <w:vAlign w:val="center"/>
          </w:tcPr>
          <w:p w14:paraId="3DDB069A">
            <w:pPr>
              <w:keepNext w:val="0"/>
              <w:keepLines w:val="0"/>
              <w:widowControl/>
              <w:suppressLineNumbers w:val="0"/>
              <w:jc w:val="left"/>
            </w:pPr>
            <w:r>
              <w:rPr>
                <w:rFonts w:ascii="宋体" w:hAnsi="宋体" w:eastAsia="宋体" w:cs="宋体"/>
                <w:kern w:val="0"/>
                <w:sz w:val="24"/>
                <w:szCs w:val="24"/>
                <w:lang w:val="en-US" w:eastAsia="zh-CN" w:bidi="ar"/>
              </w:rPr>
              <w:t>根据投标人具有有效期内的ISO9001质量管理体系认证、ISO14001环境管理体系认证、职业健康安全管理体系认证的，每提供一项得1分，满分3分，未获认证或认证无效的不得分。投标人须同时提供有效证书复印件和全国认证认可信息公共服务平台（http://cx.cnca.cn）的查询结果“有效”的截图或网页打印件，并注明网址。</w:t>
            </w:r>
          </w:p>
        </w:tc>
      </w:tr>
      <w:tr w14:paraId="4C2EC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991" w:type="dxa"/>
            <w:tcBorders>
              <w:tl2br w:val="nil"/>
              <w:tr2bl w:val="nil"/>
            </w:tcBorders>
            <w:shd w:val="clear" w:color="auto" w:fill="auto"/>
            <w:vAlign w:val="center"/>
          </w:tcPr>
          <w:p w14:paraId="644B359C">
            <w:pPr>
              <w:keepNext w:val="0"/>
              <w:keepLines w:val="0"/>
              <w:widowControl/>
              <w:suppressLineNumbers w:val="0"/>
              <w:jc w:val="left"/>
            </w:pPr>
            <w:r>
              <w:rPr>
                <w:rFonts w:ascii="宋体" w:hAnsi="宋体" w:eastAsia="宋体" w:cs="宋体"/>
                <w:kern w:val="0"/>
                <w:sz w:val="24"/>
                <w:szCs w:val="24"/>
                <w:lang w:val="en-US" w:eastAsia="zh-CN" w:bidi="ar"/>
              </w:rPr>
              <w:t>B4-2、综合实力</w:t>
            </w:r>
          </w:p>
        </w:tc>
        <w:tc>
          <w:tcPr>
            <w:tcW w:w="1051" w:type="dxa"/>
            <w:tcBorders>
              <w:tl2br w:val="nil"/>
              <w:tr2bl w:val="nil"/>
            </w:tcBorders>
            <w:shd w:val="clear" w:color="auto" w:fill="auto"/>
            <w:vAlign w:val="center"/>
          </w:tcPr>
          <w:p w14:paraId="0E1D5396">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258" w:type="dxa"/>
            <w:tcBorders>
              <w:tl2br w:val="nil"/>
              <w:tr2bl w:val="nil"/>
            </w:tcBorders>
            <w:shd w:val="clear" w:color="auto" w:fill="auto"/>
            <w:vAlign w:val="center"/>
          </w:tcPr>
          <w:p w14:paraId="121D6F38">
            <w:pPr>
              <w:keepNext w:val="0"/>
              <w:keepLines w:val="0"/>
              <w:widowControl/>
              <w:suppressLineNumbers w:val="0"/>
              <w:jc w:val="left"/>
            </w:pPr>
            <w:r>
              <w:rPr>
                <w:rFonts w:ascii="宋体" w:hAnsi="宋体" w:eastAsia="宋体" w:cs="宋体"/>
                <w:kern w:val="0"/>
                <w:sz w:val="24"/>
                <w:szCs w:val="24"/>
                <w:lang w:val="en-US" w:eastAsia="zh-CN" w:bidi="ar"/>
              </w:rPr>
              <w:t>投标人获得第三方认证机构颁发的AAA级企业信用等级证书的得1分。（须提供复印件并加盖公章，原件备查）</w:t>
            </w:r>
          </w:p>
        </w:tc>
      </w:tr>
      <w:tr w14:paraId="0A130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33" w:hRule="atLeast"/>
        </w:trPr>
        <w:tc>
          <w:tcPr>
            <w:tcW w:w="991" w:type="dxa"/>
            <w:tcBorders>
              <w:tl2br w:val="nil"/>
              <w:tr2bl w:val="nil"/>
            </w:tcBorders>
            <w:shd w:val="clear" w:color="auto" w:fill="auto"/>
            <w:vAlign w:val="center"/>
          </w:tcPr>
          <w:p w14:paraId="146D1A7C">
            <w:pPr>
              <w:keepNext w:val="0"/>
              <w:keepLines w:val="0"/>
              <w:widowControl/>
              <w:suppressLineNumbers w:val="0"/>
              <w:jc w:val="left"/>
            </w:pPr>
            <w:r>
              <w:rPr>
                <w:rFonts w:ascii="宋体" w:hAnsi="宋体" w:eastAsia="宋体" w:cs="宋体"/>
                <w:kern w:val="0"/>
                <w:sz w:val="24"/>
                <w:szCs w:val="24"/>
                <w:lang w:val="en-US" w:eastAsia="zh-CN" w:bidi="ar"/>
              </w:rPr>
              <w:t>B4-3、综合实力</w:t>
            </w:r>
          </w:p>
        </w:tc>
        <w:tc>
          <w:tcPr>
            <w:tcW w:w="1051" w:type="dxa"/>
            <w:tcBorders>
              <w:tl2br w:val="nil"/>
              <w:tr2bl w:val="nil"/>
            </w:tcBorders>
            <w:shd w:val="clear" w:color="auto" w:fill="auto"/>
            <w:vAlign w:val="center"/>
          </w:tcPr>
          <w:p w14:paraId="519FAF3B">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258" w:type="dxa"/>
            <w:tcBorders>
              <w:tl2br w:val="nil"/>
              <w:tr2bl w:val="nil"/>
            </w:tcBorders>
            <w:shd w:val="clear" w:color="auto" w:fill="auto"/>
            <w:vAlign w:val="center"/>
          </w:tcPr>
          <w:p w14:paraId="0DB2F6EB">
            <w:pPr>
              <w:keepNext w:val="0"/>
              <w:keepLines w:val="0"/>
              <w:widowControl/>
              <w:suppressLineNumbers w:val="0"/>
              <w:jc w:val="left"/>
            </w:pPr>
            <w:r>
              <w:rPr>
                <w:rFonts w:ascii="宋体" w:hAnsi="宋体" w:eastAsia="宋体" w:cs="宋体"/>
                <w:kern w:val="0"/>
                <w:sz w:val="24"/>
                <w:szCs w:val="24"/>
                <w:lang w:val="en-US" w:eastAsia="zh-CN" w:bidi="ar"/>
              </w:rPr>
              <w:t>投标人获得省级或以上政府部门、工商部门或者第三方认证机构颁发的 “重合同守信用”证书的得1分，（须提供复印件并加盖公章，原件备查）。</w:t>
            </w:r>
          </w:p>
        </w:tc>
      </w:tr>
      <w:tr w14:paraId="44BA4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44" w:hRule="atLeast"/>
        </w:trPr>
        <w:tc>
          <w:tcPr>
            <w:tcW w:w="991" w:type="dxa"/>
            <w:tcBorders>
              <w:tl2br w:val="nil"/>
              <w:tr2bl w:val="nil"/>
            </w:tcBorders>
            <w:shd w:val="clear" w:color="auto" w:fill="auto"/>
            <w:vAlign w:val="center"/>
          </w:tcPr>
          <w:p w14:paraId="523F01B6">
            <w:pPr>
              <w:keepNext w:val="0"/>
              <w:keepLines w:val="0"/>
              <w:widowControl/>
              <w:suppressLineNumbers w:val="0"/>
              <w:jc w:val="left"/>
            </w:pPr>
            <w:r>
              <w:rPr>
                <w:rFonts w:ascii="宋体" w:hAnsi="宋体" w:eastAsia="宋体" w:cs="宋体"/>
                <w:kern w:val="0"/>
                <w:sz w:val="24"/>
                <w:szCs w:val="24"/>
                <w:lang w:val="en-US" w:eastAsia="zh-CN" w:bidi="ar"/>
              </w:rPr>
              <w:t>B4-4、综合实力</w:t>
            </w:r>
          </w:p>
        </w:tc>
        <w:tc>
          <w:tcPr>
            <w:tcW w:w="1051" w:type="dxa"/>
            <w:tcBorders>
              <w:tl2br w:val="nil"/>
              <w:tr2bl w:val="nil"/>
            </w:tcBorders>
            <w:shd w:val="clear" w:color="auto" w:fill="auto"/>
            <w:vAlign w:val="center"/>
          </w:tcPr>
          <w:p w14:paraId="191B51D6">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258" w:type="dxa"/>
            <w:tcBorders>
              <w:tl2br w:val="nil"/>
              <w:tr2bl w:val="nil"/>
            </w:tcBorders>
            <w:shd w:val="clear" w:color="auto" w:fill="auto"/>
            <w:vAlign w:val="center"/>
          </w:tcPr>
          <w:p w14:paraId="523E05B4">
            <w:pPr>
              <w:keepNext w:val="0"/>
              <w:keepLines w:val="0"/>
              <w:widowControl/>
              <w:suppressLineNumbers w:val="0"/>
              <w:jc w:val="left"/>
            </w:pPr>
            <w:r>
              <w:rPr>
                <w:rFonts w:ascii="宋体" w:hAnsi="宋体" w:eastAsia="宋体" w:cs="宋体"/>
                <w:kern w:val="0"/>
                <w:sz w:val="24"/>
                <w:szCs w:val="24"/>
                <w:lang w:val="en-US" w:eastAsia="zh-CN" w:bidi="ar"/>
              </w:rPr>
              <w:t>投标人被收录为民政部救灾司、国家减灾中心编制的《自然灾害应急救助物资生产商参考名录（2019版）》的得2分。注：须提供相关证明材料，否则不得分。（满分2分）</w:t>
            </w:r>
          </w:p>
        </w:tc>
      </w:tr>
    </w:tbl>
    <w:p w14:paraId="1D9BBB95">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894E8C4">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6CB0308E">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5948E585">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EAF7DCE">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6C1A441">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79307409">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④加分项（</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w:t>
      </w:r>
    </w:p>
    <w:p w14:paraId="2CDC5FB8">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a.优先类节能产品、环境标志产品：</w:t>
      </w:r>
    </w:p>
    <w:p w14:paraId="1D7AB72B">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20%</w:t>
      </w:r>
      <w:r>
        <w:rPr>
          <w:rFonts w:hint="eastAsia" w:ascii="宋体" w:hAnsi="宋体" w:eastAsia="宋体" w:cs="宋体"/>
          <w:sz w:val="24"/>
          <w:szCs w:val="24"/>
        </w:rPr>
        <w:t>（含</w:t>
      </w:r>
      <w:r>
        <w:rPr>
          <w:rFonts w:hint="default" w:ascii="Calibri" w:hAnsi="Calibri" w:eastAsia="宋体" w:cs="Calibri"/>
          <w:sz w:val="24"/>
          <w:szCs w:val="24"/>
        </w:rPr>
        <w:t>20%</w:t>
      </w:r>
      <w:r>
        <w:rPr>
          <w:rFonts w:hint="eastAsia" w:ascii="宋体" w:hAnsi="宋体" w:eastAsia="宋体" w:cs="宋体"/>
          <w:sz w:val="24"/>
          <w:szCs w:val="24"/>
        </w:rPr>
        <w:t>）以下，将分别给予节能、环境标志产品价格项（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4%</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20%-50%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6%</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50%</w:t>
      </w:r>
      <w:r>
        <w:rPr>
          <w:rFonts w:hint="eastAsia" w:ascii="宋体" w:hAnsi="宋体" w:eastAsia="宋体" w:cs="宋体"/>
          <w:sz w:val="24"/>
          <w:szCs w:val="24"/>
        </w:rPr>
        <w:t>以上的，将分别给予节能、环境标志产品价格项（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8%</w:t>
      </w:r>
      <w:r>
        <w:rPr>
          <w:rFonts w:hint="eastAsia" w:ascii="宋体" w:hAnsi="宋体" w:eastAsia="宋体" w:cs="宋体"/>
          <w:sz w:val="24"/>
          <w:szCs w:val="24"/>
        </w:rPr>
        <w:t>的加分。</w:t>
      </w:r>
    </w:p>
    <w:p w14:paraId="031A91BC">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a2若节能、环境标志产品仅是构成投标产品的部件、组件或零件，则该投标产品不享受鼓励优惠政策。同一品目中各认证证书不重复计算加分。强制类节能产品不享受加分。</w:t>
      </w:r>
    </w:p>
    <w:tbl>
      <w:tblPr>
        <w:tblStyle w:val="6"/>
        <w:tblW w:w="86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55"/>
        <w:gridCol w:w="1147"/>
        <w:gridCol w:w="6458"/>
      </w:tblGrid>
      <w:tr w14:paraId="10ECB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62" w:hRule="atLeast"/>
          <w:tblHeader/>
        </w:trPr>
        <w:tc>
          <w:tcPr>
            <w:tcW w:w="1055" w:type="dxa"/>
            <w:tcBorders>
              <w:tl2br w:val="nil"/>
              <w:tr2bl w:val="nil"/>
            </w:tcBorders>
            <w:shd w:val="clear" w:color="auto" w:fill="auto"/>
            <w:vAlign w:val="center"/>
          </w:tcPr>
          <w:p w14:paraId="4C615F1D">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147" w:type="dxa"/>
            <w:tcBorders>
              <w:tl2br w:val="nil"/>
              <w:tr2bl w:val="nil"/>
            </w:tcBorders>
            <w:shd w:val="clear" w:color="auto" w:fill="auto"/>
            <w:vAlign w:val="center"/>
          </w:tcPr>
          <w:p w14:paraId="3569107E">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458" w:type="dxa"/>
            <w:tcBorders>
              <w:tl2br w:val="nil"/>
              <w:tr2bl w:val="nil"/>
            </w:tcBorders>
            <w:shd w:val="clear" w:color="auto" w:fill="auto"/>
            <w:vAlign w:val="center"/>
          </w:tcPr>
          <w:p w14:paraId="26FC55BD">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010A7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266" w:hRule="atLeast"/>
        </w:trPr>
        <w:tc>
          <w:tcPr>
            <w:tcW w:w="1055" w:type="dxa"/>
            <w:tcBorders>
              <w:tl2br w:val="nil"/>
              <w:tr2bl w:val="nil"/>
            </w:tcBorders>
            <w:shd w:val="clear" w:color="auto" w:fill="auto"/>
            <w:vAlign w:val="center"/>
          </w:tcPr>
          <w:p w14:paraId="5301EDBE">
            <w:pPr>
              <w:keepNext w:val="0"/>
              <w:keepLines w:val="0"/>
              <w:widowControl/>
              <w:suppressLineNumbers w:val="0"/>
              <w:jc w:val="left"/>
            </w:pPr>
            <w:r>
              <w:rPr>
                <w:rFonts w:ascii="宋体" w:hAnsi="宋体" w:eastAsia="宋体" w:cs="宋体"/>
                <w:kern w:val="0"/>
                <w:sz w:val="24"/>
                <w:szCs w:val="24"/>
                <w:lang w:val="en-US" w:eastAsia="zh-CN" w:bidi="ar"/>
              </w:rPr>
              <w:t>节能、减排、环境标志产品部分</w:t>
            </w:r>
          </w:p>
        </w:tc>
        <w:tc>
          <w:tcPr>
            <w:tcW w:w="1147" w:type="dxa"/>
            <w:tcBorders>
              <w:tl2br w:val="nil"/>
              <w:tr2bl w:val="nil"/>
            </w:tcBorders>
            <w:shd w:val="clear" w:color="auto" w:fill="auto"/>
            <w:vAlign w:val="center"/>
          </w:tcPr>
          <w:p w14:paraId="7FE360B8">
            <w:pPr>
              <w:keepNext w:val="0"/>
              <w:keepLines w:val="0"/>
              <w:widowControl/>
              <w:suppressLineNumbers w:val="0"/>
              <w:jc w:val="center"/>
            </w:pPr>
            <w:r>
              <w:rPr>
                <w:rFonts w:ascii="宋体" w:hAnsi="宋体" w:eastAsia="宋体" w:cs="宋体"/>
                <w:kern w:val="0"/>
                <w:sz w:val="24"/>
                <w:szCs w:val="24"/>
                <w:lang w:val="en-US" w:eastAsia="zh-CN" w:bidi="ar"/>
              </w:rPr>
              <w:t>6.8</w:t>
            </w:r>
          </w:p>
        </w:tc>
        <w:tc>
          <w:tcPr>
            <w:tcW w:w="6458" w:type="dxa"/>
            <w:tcBorders>
              <w:tl2br w:val="nil"/>
              <w:tr2bl w:val="nil"/>
            </w:tcBorders>
            <w:shd w:val="clear" w:color="auto" w:fill="auto"/>
            <w:vAlign w:val="center"/>
          </w:tcPr>
          <w:p w14:paraId="39F55A26">
            <w:pPr>
              <w:keepNext w:val="0"/>
              <w:keepLines w:val="0"/>
              <w:widowControl/>
              <w:suppressLineNumbers w:val="0"/>
              <w:jc w:val="left"/>
            </w:pPr>
            <w:r>
              <w:rPr>
                <w:rFonts w:ascii="宋体" w:hAnsi="宋体" w:eastAsia="宋体" w:cs="宋体"/>
                <w:kern w:val="0"/>
                <w:sz w:val="24"/>
                <w:szCs w:val="24"/>
                <w:lang w:val="en-US" w:eastAsia="zh-CN" w:bidi="ar"/>
              </w:rPr>
              <w:t>（1）根据《国务院办公厅关于建立政府强制采购节能产品制度的通知》(国办发[2007]51号)和财政部、发展改革委发布的《节能产品政府采购实施意见》(财库[2004]185号)以及《财政部、国家发展改革委关于调整节能产品政府采购清单的通知》财库〔2017〕129号的规定，节能清单中的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为政府强制采购的节能产品(具体品目以“★”标注)，本次采购货物中属政府强制采购节能产品的，投标人所投产品必须是财政部、国家发展改革委公示的《节能产品政府采购清单》内产品，并提供产品的证明资料复印件加盖投标人公章，否则投标无效。 (2)节能(非强制类产品)、减排、环境标志产品评审优惠内容及幅度如下： ①、若同一合同包内的节能(非强制类产品)、减排、环境标志产品报价总金额低于本合同包报价总金额20%(含20%)以下的，将分别给予节能、减排、环境标志产品价格评标项和技术评标项标准总分值4％的加分； ②、若同一合同包内节能(非强制类产品)、减排、环境标志产品报价总金额占本合同包报价总金额20%-50%(含50%)的，将分别给予节能、减排、环境标志产品在价格评标项和技术评标项标准总分值6％的加分； ③、若同一合同包内节能(非强制类产品)、减排、环境标志产品报价总金额占本合同包报价总金额50%以上的，将分别给予节能、减排、环境标志产品在价格评标项和技术评标项标准总分值8％的加分。 注：本次政府采购活动已经开展但尚未进入评审环节的，执行本期和下期节能清单。对于同时列入财政部、环境保护部公示的《环境标志产品政府采购清单》和财政部、国家发展改革委公示的《节能产品政府采购清单》的产品，应当优先于只获得其中一项认证的产品。 投标人在投标时必须对属于节能、减排、环境标志产品单独在节能（非强制类）、环境标志产品统计表中填写，并提供产品的证明资料复印件附在报价部分(电子证明资料应上传在对应评分模块)且加盖投标人公章。未单独分项报价或未按规定提供产品的证明资料的不给予加分。投标产品属于节能、减排、环境标志清单内产品的，可享受相关的鼓励优惠政策；若节能、减排、环境标志清单内的产品仅是构成投标产品的部件、组件或零件的，则该投标产品不享受鼓励优惠政策。评标委员会审查此项响应性只根据投标文件本身的内容，而不寻求其他的外部证据。</w:t>
            </w:r>
          </w:p>
        </w:tc>
      </w:tr>
    </w:tbl>
    <w:p w14:paraId="098D56C3">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（4）中标候选人排列规则顺序如下：</w:t>
      </w:r>
    </w:p>
    <w:p w14:paraId="595B5AE7">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a.按照评标总得分（</w:t>
      </w:r>
      <w:r>
        <w:rPr>
          <w:rFonts w:hint="default" w:ascii="Calibri" w:hAnsi="Calibri" w:eastAsia="宋体" w:cs="Calibri"/>
          <w:sz w:val="24"/>
          <w:szCs w:val="24"/>
        </w:rPr>
        <w:t>FA</w:t>
      </w:r>
      <w:r>
        <w:rPr>
          <w:rFonts w:hint="eastAsia" w:ascii="宋体" w:hAnsi="宋体" w:eastAsia="宋体" w:cs="宋体"/>
          <w:sz w:val="24"/>
          <w:szCs w:val="24"/>
        </w:rPr>
        <w:t>）由高到低顺序排列。</w:t>
      </w:r>
    </w:p>
    <w:p w14:paraId="79E5EC90">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b.评标总得分（</w:t>
      </w:r>
      <w:r>
        <w:rPr>
          <w:rFonts w:hint="default" w:ascii="Calibri" w:hAnsi="Calibri" w:eastAsia="宋体" w:cs="Calibri"/>
          <w:sz w:val="24"/>
          <w:szCs w:val="24"/>
        </w:rPr>
        <w:t>FA</w:t>
      </w:r>
      <w:r>
        <w:rPr>
          <w:rFonts w:hint="eastAsia" w:ascii="宋体" w:hAnsi="宋体" w:eastAsia="宋体" w:cs="宋体"/>
          <w:sz w:val="24"/>
          <w:szCs w:val="24"/>
        </w:rPr>
        <w:t>）相同的，按照评标价（即价格扣除后的投标报价）由低到高顺序排列。</w:t>
      </w:r>
    </w:p>
    <w:p w14:paraId="23C22BE4">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c.评标总得分（</w:t>
      </w:r>
      <w:r>
        <w:rPr>
          <w:rFonts w:hint="default" w:ascii="Calibri" w:hAnsi="Calibri" w:eastAsia="宋体" w:cs="Calibri"/>
          <w:sz w:val="24"/>
          <w:szCs w:val="24"/>
        </w:rPr>
        <w:t>FA</w:t>
      </w:r>
      <w:r>
        <w:rPr>
          <w:rFonts w:hint="eastAsia" w:ascii="宋体" w:hAnsi="宋体" w:eastAsia="宋体" w:cs="宋体"/>
          <w:sz w:val="24"/>
          <w:szCs w:val="24"/>
        </w:rPr>
        <w:t>）且评标价（即价格扣除后的投标报价）相同的并列。</w:t>
      </w:r>
    </w:p>
    <w:p w14:paraId="79FB0DCE">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6448A538">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37D55FFF">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367551BD">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3A216F46">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7F1CEFA7">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44A3B7EA">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7F8718CE">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46AA400A">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4E4D8447">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4D797E73">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1B68B36D">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756B5CA7">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62FAA55D">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6564EA21">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1C6CB271">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18ECA0A9">
      <w:pPr>
        <w:pStyle w:val="5"/>
        <w:keepNext w:val="0"/>
        <w:keepLines w:val="0"/>
        <w:widowControl/>
        <w:suppressLineNumbers w:val="0"/>
        <w:shd w:val="clear" w:fill="FFFFFF"/>
        <w:spacing w:before="0" w:beforeAutospacing="0" w:after="150" w:afterAutospacing="0"/>
        <w:ind w:left="0" w:right="0"/>
        <w:rPr>
          <w:rFonts w:hint="eastAsia" w:ascii="微软雅黑" w:hAnsi="微软雅黑" w:eastAsia="微软雅黑" w:cs="微软雅黑"/>
          <w:color w:val="393939"/>
          <w:sz w:val="19"/>
          <w:szCs w:val="19"/>
        </w:rPr>
      </w:pPr>
      <w:r>
        <w:rPr>
          <w:rStyle w:val="8"/>
          <w:rFonts w:hint="eastAsia" w:ascii="宋体" w:hAnsi="宋体" w:eastAsia="宋体" w:cs="宋体"/>
          <w:b/>
          <w:color w:val="393939"/>
          <w:sz w:val="24"/>
          <w:szCs w:val="24"/>
          <w:shd w:val="clear" w:fill="FFFFFF"/>
        </w:rPr>
        <w:t>合同包6采用综合评分法</w:t>
      </w:r>
      <w:r>
        <w:rPr>
          <w:rFonts w:hint="eastAsia" w:ascii="宋体" w:hAnsi="宋体" w:eastAsia="宋体" w:cs="宋体"/>
          <w:color w:val="393939"/>
          <w:sz w:val="24"/>
          <w:szCs w:val="24"/>
          <w:shd w:val="clear" w:fill="FFFFFF"/>
        </w:rPr>
        <w:t>：</w:t>
      </w:r>
    </w:p>
    <w:p w14:paraId="1FE97DED">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（1）投标文件满足招标文件全部实质性要求，且按照评审因素的量化指标评审得分（即评标总得分）最高的投标人为中标候选人。</w:t>
      </w:r>
    </w:p>
    <w:p w14:paraId="5850972D">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（2）每个投标人的评标总得分</w:t>
      </w:r>
      <w:r>
        <w:rPr>
          <w:rFonts w:hint="default" w:ascii="Calibri" w:hAnsi="Calibri" w:eastAsia="宋体" w:cs="Calibri"/>
          <w:sz w:val="24"/>
          <w:szCs w:val="24"/>
        </w:rPr>
        <w:t>FA</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（若有），其中：</w:t>
      </w:r>
      <w:r>
        <w:rPr>
          <w:rFonts w:hint="default" w:ascii="Calibri" w:hAnsi="Calibri" w:eastAsia="宋体" w:cs="Calibri"/>
          <w:sz w:val="24"/>
          <w:szCs w:val="24"/>
        </w:rPr>
        <w:t>F1</w:t>
      </w:r>
      <w:r>
        <w:rPr>
          <w:rFonts w:hint="eastAsia" w:ascii="宋体" w:hAnsi="宋体" w:eastAsia="宋体" w:cs="宋体"/>
          <w:sz w:val="24"/>
          <w:szCs w:val="24"/>
        </w:rPr>
        <w:t>指价格项评审因素得分、</w:t>
      </w:r>
      <w:r>
        <w:rPr>
          <w:rFonts w:hint="default" w:ascii="Calibri" w:hAnsi="Calibri" w:eastAsia="宋体" w:cs="Calibri"/>
          <w:sz w:val="24"/>
          <w:szCs w:val="24"/>
        </w:rPr>
        <w:t>F2</w:t>
      </w:r>
      <w:r>
        <w:rPr>
          <w:rFonts w:hint="eastAsia" w:ascii="宋体" w:hAnsi="宋体" w:eastAsia="宋体" w:cs="宋体"/>
          <w:sz w:val="24"/>
          <w:szCs w:val="24"/>
        </w:rPr>
        <w:t>指技术项评审因素得分、</w:t>
      </w:r>
      <w:r>
        <w:rPr>
          <w:rFonts w:hint="default" w:ascii="Calibri" w:hAnsi="Calibri" w:eastAsia="宋体" w:cs="Calibri"/>
          <w:sz w:val="24"/>
          <w:szCs w:val="24"/>
        </w:rPr>
        <w:t>F3</w:t>
      </w:r>
      <w:r>
        <w:rPr>
          <w:rFonts w:hint="eastAsia" w:ascii="宋体" w:hAnsi="宋体" w:eastAsia="宋体" w:cs="宋体"/>
          <w:sz w:val="24"/>
          <w:szCs w:val="24"/>
        </w:rPr>
        <w:t>指商务项评审因素得分，</w:t>
      </w:r>
      <w:r>
        <w:rPr>
          <w:rFonts w:hint="default" w:ascii="Calibri" w:hAnsi="Calibri" w:eastAsia="宋体" w:cs="Calibri"/>
          <w:sz w:val="24"/>
          <w:szCs w:val="24"/>
        </w:rPr>
        <w:t>A1</w:t>
      </w:r>
      <w:r>
        <w:rPr>
          <w:rFonts w:hint="eastAsia" w:ascii="宋体" w:hAnsi="宋体" w:eastAsia="宋体" w:cs="宋体"/>
          <w:sz w:val="24"/>
          <w:szCs w:val="24"/>
        </w:rPr>
        <w:t>指价格项评审因素所占的权重、</w:t>
      </w:r>
      <w:r>
        <w:rPr>
          <w:rFonts w:hint="default" w:ascii="Calibri" w:hAnsi="Calibri" w:eastAsia="宋体" w:cs="Calibri"/>
          <w:sz w:val="24"/>
          <w:szCs w:val="24"/>
        </w:rPr>
        <w:t>A2</w:t>
      </w:r>
      <w:r>
        <w:rPr>
          <w:rFonts w:hint="eastAsia" w:ascii="宋体" w:hAnsi="宋体" w:eastAsia="宋体" w:cs="宋体"/>
          <w:sz w:val="24"/>
          <w:szCs w:val="24"/>
        </w:rPr>
        <w:t>指技术项评审因素所占的权重、</w:t>
      </w:r>
      <w:r>
        <w:rPr>
          <w:rFonts w:hint="default" w:ascii="Calibri" w:hAnsi="Calibri" w:eastAsia="宋体" w:cs="Calibri"/>
          <w:sz w:val="24"/>
          <w:szCs w:val="24"/>
        </w:rPr>
        <w:t>A3</w:t>
      </w:r>
      <w:r>
        <w:rPr>
          <w:rFonts w:hint="eastAsia" w:ascii="宋体" w:hAnsi="宋体" w:eastAsia="宋体" w:cs="宋体"/>
          <w:sz w:val="24"/>
          <w:szCs w:val="24"/>
        </w:rPr>
        <w:t>指商务项评审因素所占的权重，</w:t>
      </w:r>
      <w:r>
        <w:rPr>
          <w:rFonts w:hint="default" w:ascii="Calibri" w:hAnsi="Calibri" w:eastAsia="宋体" w:cs="Calibri"/>
          <w:sz w:val="24"/>
          <w:szCs w:val="24"/>
        </w:rPr>
        <w:t>A1+A2+A3=1</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A3=100</w:t>
      </w:r>
      <w:r>
        <w:rPr>
          <w:rFonts w:hint="eastAsia" w:ascii="宋体" w:hAnsi="宋体" w:eastAsia="宋体" w:cs="宋体"/>
          <w:sz w:val="24"/>
          <w:szCs w:val="24"/>
        </w:rPr>
        <w:t>分（满分时），</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为加分项（即优先类节能产品、环境标志产品在采购活动中可享有的加分优惠）。</w:t>
      </w:r>
    </w:p>
    <w:p w14:paraId="1836B0D5">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（3）各项评审因素的设置如下：</w:t>
      </w:r>
    </w:p>
    <w:p w14:paraId="1A015B38">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①价格项（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）满分为</w:t>
      </w:r>
      <w:r>
        <w:rPr>
          <w:rFonts w:hint="eastAsia" w:ascii="宋体" w:hAnsi="宋体" w:eastAsia="宋体" w:cs="宋体"/>
          <w:sz w:val="24"/>
          <w:szCs w:val="24"/>
          <w:u w:val="single"/>
        </w:rPr>
        <w:t>30</w:t>
      </w:r>
      <w:r>
        <w:rPr>
          <w:rFonts w:hint="eastAsia" w:ascii="宋体" w:hAnsi="宋体" w:eastAsia="宋体" w:cs="宋体"/>
          <w:sz w:val="24"/>
          <w:szCs w:val="24"/>
        </w:rPr>
        <w:t>分。</w:t>
      </w:r>
    </w:p>
    <w:p w14:paraId="0D23C49D">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24"/>
          <w:szCs w:val="24"/>
        </w:rPr>
        <w:t>=</w:t>
      </w:r>
      <w:r>
        <w:rPr>
          <w:rFonts w:hint="eastAsia" w:ascii="宋体" w:hAnsi="宋体" w:eastAsia="宋体" w:cs="宋体"/>
          <w:sz w:val="24"/>
          <w:szCs w:val="24"/>
        </w:rPr>
        <w:t>（评标基准价／投标报价）×</w:t>
      </w:r>
      <w:r>
        <w:rPr>
          <w:rFonts w:hint="default" w:ascii="Calibri" w:hAnsi="Calibri" w:eastAsia="宋体" w:cs="Calibri"/>
          <w:sz w:val="24"/>
          <w:szCs w:val="24"/>
        </w:rPr>
        <w:t>100</w:t>
      </w:r>
      <w:r>
        <w:rPr>
          <w:rFonts w:hint="eastAsia" w:ascii="宋体" w:hAnsi="宋体" w:eastAsia="宋体" w:cs="宋体"/>
          <w:sz w:val="24"/>
          <w:szCs w:val="24"/>
        </w:rPr>
        <w:t>。因落实政府采购政策需进行价格扣除的，以扣除后的价格计算评标基准价和投标报价。</w:t>
      </w:r>
    </w:p>
    <w:p w14:paraId="274B8CC3">
      <w:pPr>
        <w:pStyle w:val="5"/>
        <w:keepNext w:val="0"/>
        <w:keepLines w:val="0"/>
        <w:widowControl/>
        <w:suppressLineNumbers w:val="0"/>
        <w:spacing w:before="0" w:beforeAutospacing="0" w:after="150" w:afterAutospacing="0"/>
        <w:ind w:left="0" w:right="0" w:firstLine="480"/>
      </w:pPr>
      <w:r>
        <w:rPr>
          <w:rFonts w:hint="default" w:ascii="Calibri" w:hAnsi="Calibri" w:cs="Calibri"/>
          <w:sz w:val="24"/>
          <w:szCs w:val="24"/>
        </w:rPr>
        <w:t>b.</w:t>
      </w:r>
      <w:r>
        <w:rPr>
          <w:rFonts w:hint="eastAsia" w:ascii="宋体" w:hAnsi="宋体" w:eastAsia="宋体" w:cs="宋体"/>
          <w:sz w:val="24"/>
          <w:szCs w:val="24"/>
        </w:rPr>
        <w:t>价格扣除的规则如下：</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71"/>
        <w:gridCol w:w="7151"/>
      </w:tblGrid>
      <w:tr w14:paraId="5A21217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14:paraId="383CBF7F">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14:paraId="4292BF54">
            <w:pPr>
              <w:keepNext w:val="0"/>
              <w:keepLines w:val="0"/>
              <w:widowControl/>
              <w:suppressLineNumbers w:val="0"/>
              <w:jc w:val="center"/>
            </w:pPr>
            <w:r>
              <w:rPr>
                <w:rFonts w:ascii="宋体" w:hAnsi="宋体" w:eastAsia="宋体" w:cs="宋体"/>
                <w:kern w:val="0"/>
                <w:sz w:val="24"/>
                <w:szCs w:val="24"/>
                <w:lang w:val="en-US" w:eastAsia="zh-CN" w:bidi="ar"/>
              </w:rPr>
              <w:t>评标方法</w:t>
            </w:r>
          </w:p>
        </w:tc>
      </w:tr>
      <w:tr w14:paraId="7D2D418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14:paraId="382C44D8">
            <w:pPr>
              <w:keepNext w:val="0"/>
              <w:keepLines w:val="0"/>
              <w:widowControl/>
              <w:suppressLineNumbers w:val="0"/>
              <w:jc w:val="left"/>
            </w:pPr>
            <w:r>
              <w:rPr>
                <w:rFonts w:ascii="宋体" w:hAnsi="宋体" w:eastAsia="宋体" w:cs="宋体"/>
                <w:kern w:val="0"/>
                <w:sz w:val="24"/>
                <w:szCs w:val="24"/>
                <w:lang w:val="en-US" w:eastAsia="zh-CN" w:bidi="ar"/>
              </w:rPr>
              <w:t>小型、微型企业，监狱企业，残疾人</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14:paraId="6574563C">
            <w:pPr>
              <w:keepNext w:val="0"/>
              <w:keepLines w:val="0"/>
              <w:widowControl/>
              <w:suppressLineNumbers w:val="0"/>
              <w:jc w:val="left"/>
            </w:pPr>
            <w:r>
              <w:rPr>
                <w:rStyle w:val="8"/>
                <w:rFonts w:ascii="宋体" w:hAnsi="宋体" w:eastAsia="宋体" w:cs="宋体"/>
                <w:b/>
                <w:kern w:val="0"/>
                <w:sz w:val="24"/>
                <w:szCs w:val="24"/>
                <w:lang w:val="en-US" w:eastAsia="zh-CN" w:bidi="ar"/>
              </w:rPr>
              <w:t>小型、微型企业，监狱企业，残疾人 《政府采购促进中小企业发展暂行办法》价格的扣除：1、根据财政部、工信部印发的《政府采购促进中小企业发展暂行办法》财库〔2011〕181号，本办法所称中小企业(含中型、小型、微型企业，下同)应当同时符合以下条件：(1)符合中小企业划分标准；(2)提供本企业制造的货物、承担的工程或者服务，或者提供其他中小企业制造的货物。本项所称货物不包括使用大型企业注册商标的货物。本办法所称中小企业划分标准，是指国务院有关部门根据企业从业人员、营业收入、资产总额等指标制定的中小企业划型标准。小型、微型企业提供中型企业制造的货物的，视同为中型企业。2、本项目为非专门面向中小企业的项目，对小型和微型企业产品的价格给予6%的扣除，用扣除后的价格参与评审。残疾人集中就业企业、监狱企业视同小型和微型企业，享受评审中价格扣除的政府采购政策。3、参加政府采购活动的中小企业应当提供《政府采购促进中小企业发展暂行办法》规定的《中小企业声明函》(见第七章投标文件格式)。4、政府采购对中小企业的认定，由企业所在地的县级以上中小企业主管部门负责。须提供中小企业主管部门的证明函，否则不予价格扣除。5、监狱企业参加政府采购活动时，应当提供由省级以上监狱管理局、戒毒管理局(含新疆生产建设兵团)出具的属于监狱企业的证明文件，否则不予价格扣除。注：投标人在报价时必须对提供本企业制造的货物、承担的工程或者服务，或者提供其他中小企业制造的货物单独在小型、微型企业产品统计表中填写，并提供相关证明资料复印件附在报价部分(电子证明资料应上传在对应评分模块)且加盖投标人公章。未单独分项报价或未按规定提供相关证明资料的不给予价格扣除。评标委员会审查此项响应性只根据投标文件本身的内容，而不寻求其他的外部证据。残疾人福利性单位产品《三部门联合发布关于促进残疾人就业政府采购政策的通知》价格的扣除：1、根据财政部、民政部、中国残疾人联合会印发的《三部门联合发布关于促进残疾人就业政府采购政策的通知》财库〔2017〕141号，依照《政府采购法》、《残疾人保障法》等法律法规及相关规定，享受政府采购支持政策的残疾人福利性单位应当同时满足以下条件：(1)安置的残疾人占本单位在职职工人数的比例不低于25%(含25%)，并且安置的残疾人人数不少于10人(含10人)；(2)依法与安置的每位残疾人签订了一年以上(含一年)的劳动合同或服务协议；(3)为安置的每位残疾人按月足额缴纳了基本养老保险、基本医疗保险、失业保险、工伤保险和生育保险等社会保险费；(4)通过银行等金融机构向安置的每位残疾人，按月支付了不低于单位所在区县适用的经省级人民政府批准的月最低工资标准的工资；(5)提供本单位制造的货物、承担的工程或者服务(以下简称产品)，或者提供其他残疾人福利性单位制造的货物(不包括使用非残疾人福利性单位注册商标的货物)。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2、符合条件的残疾人福利性单位在参加政府采购活动时，应当提供《三部门联合发布关于促进残疾人就业政府采购政策的通知》规定的《残疾人福利性单位声明函》(见招标文件格式)，并对声明的真实性负责。3、在政府采购活动中，残疾人福利性单位视同小型、微型企业，享受“《政府采购促进中小企业发展暂行办法》价格的扣除”的政府采购政策。残疾人福利性单位属于小型、微型企业的，不重复享受政策。</w:t>
            </w:r>
          </w:p>
        </w:tc>
      </w:tr>
    </w:tbl>
    <w:p w14:paraId="0ADF0F9E">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68892FF">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648C4533">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7F6CB2E6">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7B5D993F">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D251C78">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2AA05DA">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32ABBEE">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0E32044">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2D8A98CE">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6D9FEA70">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2DE3CC1C">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6A59F4B">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②技术项（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）满分为</w:t>
      </w:r>
      <w:r>
        <w:rPr>
          <w:rFonts w:hint="eastAsia" w:ascii="宋体" w:hAnsi="宋体" w:eastAsia="宋体" w:cs="宋体"/>
          <w:sz w:val="24"/>
          <w:szCs w:val="24"/>
          <w:u w:val="single"/>
        </w:rPr>
        <w:t>55</w:t>
      </w:r>
      <w:r>
        <w:rPr>
          <w:rFonts w:hint="eastAsia" w:ascii="宋体" w:hAnsi="宋体" w:eastAsia="宋体" w:cs="宋体"/>
          <w:sz w:val="24"/>
          <w:szCs w:val="24"/>
        </w:rPr>
        <w:t>分。</w:t>
      </w:r>
    </w:p>
    <w:tbl>
      <w:tblPr>
        <w:tblStyle w:val="6"/>
        <w:tblW w:w="828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208"/>
        <w:gridCol w:w="1156"/>
        <w:gridCol w:w="5916"/>
      </w:tblGrid>
      <w:tr w14:paraId="143D112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554" w:hRule="atLeast"/>
          <w:tblHeader/>
        </w:trPr>
        <w:tc>
          <w:tcPr>
            <w:tcW w:w="1208" w:type="dxa"/>
            <w:tcBorders>
              <w:top w:val="outset" w:color="auto" w:sz="6" w:space="0"/>
              <w:left w:val="outset" w:color="auto" w:sz="6" w:space="0"/>
              <w:bottom w:val="outset" w:color="auto" w:sz="6" w:space="0"/>
              <w:right w:val="outset" w:color="auto" w:sz="6" w:space="0"/>
            </w:tcBorders>
            <w:shd w:val="clear" w:color="auto" w:fill="auto"/>
            <w:vAlign w:val="center"/>
          </w:tcPr>
          <w:p w14:paraId="3273A069">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156" w:type="dxa"/>
            <w:tcBorders>
              <w:top w:val="outset" w:color="auto" w:sz="6" w:space="0"/>
              <w:left w:val="outset" w:color="auto" w:sz="6" w:space="0"/>
              <w:bottom w:val="outset" w:color="auto" w:sz="6" w:space="0"/>
              <w:right w:val="outset" w:color="auto" w:sz="6" w:space="0"/>
            </w:tcBorders>
            <w:shd w:val="clear" w:color="auto" w:fill="auto"/>
            <w:vAlign w:val="center"/>
          </w:tcPr>
          <w:p w14:paraId="5A2C8D2F">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5916" w:type="dxa"/>
            <w:tcBorders>
              <w:top w:val="outset" w:color="auto" w:sz="6" w:space="0"/>
              <w:left w:val="outset" w:color="auto" w:sz="6" w:space="0"/>
              <w:bottom w:val="outset" w:color="auto" w:sz="6" w:space="0"/>
              <w:right w:val="outset" w:color="auto" w:sz="6" w:space="0"/>
            </w:tcBorders>
            <w:shd w:val="clear" w:color="auto" w:fill="auto"/>
            <w:vAlign w:val="center"/>
          </w:tcPr>
          <w:p w14:paraId="674001F8">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1007ECF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197" w:hRule="atLeast"/>
        </w:trPr>
        <w:tc>
          <w:tcPr>
            <w:tcW w:w="1208" w:type="dxa"/>
            <w:tcBorders>
              <w:top w:val="outset" w:color="auto" w:sz="6" w:space="0"/>
              <w:left w:val="outset" w:color="auto" w:sz="6" w:space="0"/>
              <w:bottom w:val="outset" w:color="auto" w:sz="6" w:space="0"/>
              <w:right w:val="outset" w:color="auto" w:sz="6" w:space="0"/>
            </w:tcBorders>
            <w:shd w:val="clear" w:color="auto" w:fill="auto"/>
            <w:vAlign w:val="center"/>
          </w:tcPr>
          <w:p w14:paraId="1514A23D">
            <w:pPr>
              <w:keepNext w:val="0"/>
              <w:keepLines w:val="0"/>
              <w:widowControl/>
              <w:suppressLineNumbers w:val="0"/>
              <w:jc w:val="left"/>
            </w:pPr>
            <w:r>
              <w:rPr>
                <w:rFonts w:ascii="宋体" w:hAnsi="宋体" w:eastAsia="宋体" w:cs="宋体"/>
                <w:kern w:val="0"/>
                <w:sz w:val="24"/>
                <w:szCs w:val="24"/>
                <w:lang w:val="en-US" w:eastAsia="zh-CN" w:bidi="ar"/>
              </w:rPr>
              <w:t>A1、所投货物技术的响应情况</w:t>
            </w:r>
          </w:p>
        </w:tc>
        <w:tc>
          <w:tcPr>
            <w:tcW w:w="1156" w:type="dxa"/>
            <w:tcBorders>
              <w:top w:val="outset" w:color="auto" w:sz="6" w:space="0"/>
              <w:left w:val="outset" w:color="auto" w:sz="6" w:space="0"/>
              <w:bottom w:val="outset" w:color="auto" w:sz="6" w:space="0"/>
              <w:right w:val="outset" w:color="auto" w:sz="6" w:space="0"/>
            </w:tcBorders>
            <w:shd w:val="clear" w:color="auto" w:fill="auto"/>
            <w:vAlign w:val="center"/>
          </w:tcPr>
          <w:p w14:paraId="21DEBF91">
            <w:pPr>
              <w:keepNext w:val="0"/>
              <w:keepLines w:val="0"/>
              <w:widowControl/>
              <w:suppressLineNumbers w:val="0"/>
              <w:jc w:val="center"/>
            </w:pPr>
            <w:r>
              <w:rPr>
                <w:rFonts w:ascii="宋体" w:hAnsi="宋体" w:eastAsia="宋体" w:cs="宋体"/>
                <w:kern w:val="0"/>
                <w:sz w:val="24"/>
                <w:szCs w:val="24"/>
                <w:lang w:val="en-US" w:eastAsia="zh-CN" w:bidi="ar"/>
              </w:rPr>
              <w:t>38</w:t>
            </w:r>
          </w:p>
        </w:tc>
        <w:tc>
          <w:tcPr>
            <w:tcW w:w="5916" w:type="dxa"/>
            <w:tcBorders>
              <w:top w:val="outset" w:color="auto" w:sz="6" w:space="0"/>
              <w:left w:val="outset" w:color="auto" w:sz="6" w:space="0"/>
              <w:bottom w:val="outset" w:color="auto" w:sz="6" w:space="0"/>
              <w:right w:val="outset" w:color="auto" w:sz="6" w:space="0"/>
            </w:tcBorders>
            <w:shd w:val="clear" w:color="auto" w:fill="auto"/>
            <w:vAlign w:val="center"/>
          </w:tcPr>
          <w:p w14:paraId="5E12A0E3">
            <w:pPr>
              <w:keepNext w:val="0"/>
              <w:keepLines w:val="0"/>
              <w:widowControl/>
              <w:suppressLineNumbers w:val="0"/>
              <w:jc w:val="left"/>
            </w:pPr>
            <w:r>
              <w:rPr>
                <w:rFonts w:ascii="宋体" w:hAnsi="宋体" w:eastAsia="宋体" w:cs="宋体"/>
                <w:kern w:val="0"/>
                <w:sz w:val="24"/>
                <w:szCs w:val="24"/>
                <w:lang w:val="en-US" w:eastAsia="zh-CN" w:bidi="ar"/>
              </w:rPr>
              <w:t>根据投标人对招标文件第五章《招标内容及要求》二、技术和服务要求“合同包6：“雨衣雨靴”参数要求的逐项响应、承诺的情况由评委进行评议评分，投标人所投产品完全满足招标文件技术规范及要求的得38分，有负偏离情况的，每负偏离一项扣3分，扣完为止，正偏离不加分。（满分38分）</w:t>
            </w:r>
          </w:p>
        </w:tc>
      </w:tr>
      <w:tr w14:paraId="3147AFC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611" w:hRule="atLeast"/>
        </w:trPr>
        <w:tc>
          <w:tcPr>
            <w:tcW w:w="1208" w:type="dxa"/>
            <w:tcBorders>
              <w:top w:val="outset" w:color="auto" w:sz="6" w:space="0"/>
              <w:left w:val="outset" w:color="auto" w:sz="6" w:space="0"/>
              <w:bottom w:val="outset" w:color="auto" w:sz="6" w:space="0"/>
              <w:right w:val="outset" w:color="auto" w:sz="6" w:space="0"/>
            </w:tcBorders>
            <w:shd w:val="clear" w:color="auto" w:fill="auto"/>
            <w:vAlign w:val="center"/>
          </w:tcPr>
          <w:p w14:paraId="02B0D5B5">
            <w:pPr>
              <w:keepNext w:val="0"/>
              <w:keepLines w:val="0"/>
              <w:widowControl/>
              <w:suppressLineNumbers w:val="0"/>
              <w:jc w:val="left"/>
            </w:pPr>
            <w:r>
              <w:rPr>
                <w:rFonts w:ascii="宋体" w:hAnsi="宋体" w:eastAsia="宋体" w:cs="宋体"/>
                <w:kern w:val="0"/>
                <w:sz w:val="24"/>
                <w:szCs w:val="24"/>
                <w:lang w:val="en-US" w:eastAsia="zh-CN" w:bidi="ar"/>
              </w:rPr>
              <w:t>A2、生产情况说明</w:t>
            </w:r>
          </w:p>
        </w:tc>
        <w:tc>
          <w:tcPr>
            <w:tcW w:w="1156" w:type="dxa"/>
            <w:tcBorders>
              <w:top w:val="outset" w:color="auto" w:sz="6" w:space="0"/>
              <w:left w:val="outset" w:color="auto" w:sz="6" w:space="0"/>
              <w:bottom w:val="outset" w:color="auto" w:sz="6" w:space="0"/>
              <w:right w:val="outset" w:color="auto" w:sz="6" w:space="0"/>
            </w:tcBorders>
            <w:shd w:val="clear" w:color="auto" w:fill="auto"/>
            <w:vAlign w:val="center"/>
          </w:tcPr>
          <w:p w14:paraId="0F59350E">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16" w:type="dxa"/>
            <w:tcBorders>
              <w:top w:val="outset" w:color="auto" w:sz="6" w:space="0"/>
              <w:left w:val="outset" w:color="auto" w:sz="6" w:space="0"/>
              <w:bottom w:val="outset" w:color="auto" w:sz="6" w:space="0"/>
              <w:right w:val="outset" w:color="auto" w:sz="6" w:space="0"/>
            </w:tcBorders>
            <w:shd w:val="clear" w:color="auto" w:fill="auto"/>
            <w:vAlign w:val="center"/>
          </w:tcPr>
          <w:p w14:paraId="6C0A6D60">
            <w:pPr>
              <w:keepNext w:val="0"/>
              <w:keepLines w:val="0"/>
              <w:widowControl/>
              <w:suppressLineNumbers w:val="0"/>
              <w:jc w:val="left"/>
            </w:pPr>
            <w:r>
              <w:rPr>
                <w:rFonts w:ascii="宋体" w:hAnsi="宋体" w:eastAsia="宋体" w:cs="宋体"/>
                <w:kern w:val="0"/>
                <w:sz w:val="24"/>
                <w:szCs w:val="24"/>
                <w:lang w:val="en-US" w:eastAsia="zh-CN" w:bidi="ar"/>
              </w:rPr>
              <w:t>根据投标人提供的生产计划，生产方案、产品工艺流程说明、加工设备清单等进行横向评议，由评委在0～3分之间进行评分。</w:t>
            </w:r>
          </w:p>
        </w:tc>
      </w:tr>
      <w:tr w14:paraId="6FC7FBE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140" w:hRule="atLeast"/>
        </w:trPr>
        <w:tc>
          <w:tcPr>
            <w:tcW w:w="1208" w:type="dxa"/>
            <w:tcBorders>
              <w:top w:val="outset" w:color="auto" w:sz="6" w:space="0"/>
              <w:left w:val="outset" w:color="auto" w:sz="6" w:space="0"/>
              <w:bottom w:val="outset" w:color="auto" w:sz="6" w:space="0"/>
              <w:right w:val="outset" w:color="auto" w:sz="6" w:space="0"/>
            </w:tcBorders>
            <w:shd w:val="clear" w:color="auto" w:fill="auto"/>
            <w:vAlign w:val="center"/>
          </w:tcPr>
          <w:p w14:paraId="73EBCB0E">
            <w:pPr>
              <w:keepNext w:val="0"/>
              <w:keepLines w:val="0"/>
              <w:widowControl/>
              <w:suppressLineNumbers w:val="0"/>
              <w:jc w:val="left"/>
            </w:pPr>
            <w:r>
              <w:rPr>
                <w:rFonts w:ascii="宋体" w:hAnsi="宋体" w:eastAsia="宋体" w:cs="宋体"/>
                <w:kern w:val="0"/>
                <w:sz w:val="24"/>
                <w:szCs w:val="24"/>
                <w:lang w:val="en-US" w:eastAsia="zh-CN" w:bidi="ar"/>
              </w:rPr>
              <w:t>A3、项目保障措施</w:t>
            </w:r>
          </w:p>
        </w:tc>
        <w:tc>
          <w:tcPr>
            <w:tcW w:w="1156" w:type="dxa"/>
            <w:tcBorders>
              <w:top w:val="outset" w:color="auto" w:sz="6" w:space="0"/>
              <w:left w:val="outset" w:color="auto" w:sz="6" w:space="0"/>
              <w:bottom w:val="outset" w:color="auto" w:sz="6" w:space="0"/>
              <w:right w:val="outset" w:color="auto" w:sz="6" w:space="0"/>
            </w:tcBorders>
            <w:shd w:val="clear" w:color="auto" w:fill="auto"/>
            <w:vAlign w:val="center"/>
          </w:tcPr>
          <w:p w14:paraId="02AC5F2F">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16" w:type="dxa"/>
            <w:tcBorders>
              <w:top w:val="outset" w:color="auto" w:sz="6" w:space="0"/>
              <w:left w:val="outset" w:color="auto" w:sz="6" w:space="0"/>
              <w:bottom w:val="outset" w:color="auto" w:sz="6" w:space="0"/>
              <w:right w:val="outset" w:color="auto" w:sz="6" w:space="0"/>
            </w:tcBorders>
            <w:shd w:val="clear" w:color="auto" w:fill="auto"/>
            <w:vAlign w:val="center"/>
          </w:tcPr>
          <w:p w14:paraId="5E8699BD">
            <w:pPr>
              <w:keepNext w:val="0"/>
              <w:keepLines w:val="0"/>
              <w:widowControl/>
              <w:suppressLineNumbers w:val="0"/>
              <w:jc w:val="left"/>
            </w:pPr>
            <w:r>
              <w:rPr>
                <w:rFonts w:ascii="宋体" w:hAnsi="宋体" w:eastAsia="宋体" w:cs="宋体"/>
                <w:kern w:val="0"/>
                <w:sz w:val="24"/>
                <w:szCs w:val="24"/>
                <w:lang w:val="en-US" w:eastAsia="zh-CN" w:bidi="ar"/>
              </w:rPr>
              <w:t>根据投标人提供的产品检测方案、质量保障，供货保障方案详细程度等进行横向评议，保障方案罗列齐全详细且保障方案可行性强的得3分；方案一般但较为合理的得2分，保障方案不合理或未提供保障方案的本项不得分。</w:t>
            </w:r>
          </w:p>
        </w:tc>
      </w:tr>
      <w:tr w14:paraId="364C876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82" w:hRule="atLeast"/>
        </w:trPr>
        <w:tc>
          <w:tcPr>
            <w:tcW w:w="1208" w:type="dxa"/>
            <w:tcBorders>
              <w:top w:val="outset" w:color="auto" w:sz="6" w:space="0"/>
              <w:left w:val="outset" w:color="auto" w:sz="6" w:space="0"/>
              <w:bottom w:val="outset" w:color="auto" w:sz="6" w:space="0"/>
              <w:right w:val="outset" w:color="auto" w:sz="6" w:space="0"/>
            </w:tcBorders>
            <w:shd w:val="clear" w:color="auto" w:fill="auto"/>
            <w:vAlign w:val="center"/>
          </w:tcPr>
          <w:p w14:paraId="3414EA2F">
            <w:pPr>
              <w:keepNext w:val="0"/>
              <w:keepLines w:val="0"/>
              <w:widowControl/>
              <w:suppressLineNumbers w:val="0"/>
              <w:jc w:val="left"/>
            </w:pPr>
            <w:r>
              <w:rPr>
                <w:rFonts w:ascii="宋体" w:hAnsi="宋体" w:eastAsia="宋体" w:cs="宋体"/>
                <w:kern w:val="0"/>
                <w:sz w:val="24"/>
                <w:szCs w:val="24"/>
                <w:lang w:val="en-US" w:eastAsia="zh-CN" w:bidi="ar"/>
              </w:rPr>
              <w:t>A4-1、样品情况</w:t>
            </w:r>
          </w:p>
        </w:tc>
        <w:tc>
          <w:tcPr>
            <w:tcW w:w="1156" w:type="dxa"/>
            <w:tcBorders>
              <w:top w:val="outset" w:color="auto" w:sz="6" w:space="0"/>
              <w:left w:val="outset" w:color="auto" w:sz="6" w:space="0"/>
              <w:bottom w:val="outset" w:color="auto" w:sz="6" w:space="0"/>
              <w:right w:val="outset" w:color="auto" w:sz="6" w:space="0"/>
            </w:tcBorders>
            <w:shd w:val="clear" w:color="auto" w:fill="auto"/>
            <w:vAlign w:val="center"/>
          </w:tcPr>
          <w:p w14:paraId="57544802">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16" w:type="dxa"/>
            <w:tcBorders>
              <w:top w:val="outset" w:color="auto" w:sz="6" w:space="0"/>
              <w:left w:val="outset" w:color="auto" w:sz="6" w:space="0"/>
              <w:bottom w:val="outset" w:color="auto" w:sz="6" w:space="0"/>
              <w:right w:val="outset" w:color="auto" w:sz="6" w:space="0"/>
            </w:tcBorders>
            <w:shd w:val="clear" w:color="auto" w:fill="auto"/>
            <w:vAlign w:val="center"/>
          </w:tcPr>
          <w:p w14:paraId="63ABBD47">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根据投标人所提供样品的整体质量情况由评委在0～3分之间进行评分。</w:t>
            </w:r>
          </w:p>
        </w:tc>
      </w:tr>
      <w:tr w14:paraId="64E0D5A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82" w:hRule="atLeast"/>
        </w:trPr>
        <w:tc>
          <w:tcPr>
            <w:tcW w:w="1208" w:type="dxa"/>
            <w:tcBorders>
              <w:top w:val="outset" w:color="auto" w:sz="6" w:space="0"/>
              <w:left w:val="outset" w:color="auto" w:sz="6" w:space="0"/>
              <w:bottom w:val="outset" w:color="auto" w:sz="6" w:space="0"/>
              <w:right w:val="outset" w:color="auto" w:sz="6" w:space="0"/>
            </w:tcBorders>
            <w:shd w:val="clear" w:color="auto" w:fill="auto"/>
            <w:vAlign w:val="center"/>
          </w:tcPr>
          <w:p w14:paraId="15C332D5">
            <w:pPr>
              <w:keepNext w:val="0"/>
              <w:keepLines w:val="0"/>
              <w:widowControl/>
              <w:suppressLineNumbers w:val="0"/>
              <w:jc w:val="left"/>
            </w:pPr>
            <w:r>
              <w:rPr>
                <w:rFonts w:ascii="宋体" w:hAnsi="宋体" w:eastAsia="宋体" w:cs="宋体"/>
                <w:kern w:val="0"/>
                <w:sz w:val="24"/>
                <w:szCs w:val="24"/>
                <w:lang w:val="en-US" w:eastAsia="zh-CN" w:bidi="ar"/>
              </w:rPr>
              <w:t>A4-2、样品情况</w:t>
            </w:r>
          </w:p>
        </w:tc>
        <w:tc>
          <w:tcPr>
            <w:tcW w:w="1156" w:type="dxa"/>
            <w:tcBorders>
              <w:top w:val="outset" w:color="auto" w:sz="6" w:space="0"/>
              <w:left w:val="outset" w:color="auto" w:sz="6" w:space="0"/>
              <w:bottom w:val="outset" w:color="auto" w:sz="6" w:space="0"/>
              <w:right w:val="outset" w:color="auto" w:sz="6" w:space="0"/>
            </w:tcBorders>
            <w:shd w:val="clear" w:color="auto" w:fill="auto"/>
            <w:vAlign w:val="center"/>
          </w:tcPr>
          <w:p w14:paraId="794C3D71">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16" w:type="dxa"/>
            <w:tcBorders>
              <w:top w:val="outset" w:color="auto" w:sz="6" w:space="0"/>
              <w:left w:val="outset" w:color="auto" w:sz="6" w:space="0"/>
              <w:bottom w:val="outset" w:color="auto" w:sz="6" w:space="0"/>
              <w:right w:val="outset" w:color="auto" w:sz="6" w:space="0"/>
            </w:tcBorders>
            <w:shd w:val="clear" w:color="auto" w:fill="auto"/>
            <w:vAlign w:val="center"/>
          </w:tcPr>
          <w:p w14:paraId="72587112">
            <w:pPr>
              <w:keepNext w:val="0"/>
              <w:keepLines w:val="0"/>
              <w:widowControl/>
              <w:suppressLineNumbers w:val="0"/>
              <w:jc w:val="left"/>
            </w:pPr>
            <w:r>
              <w:rPr>
                <w:rFonts w:ascii="宋体" w:hAnsi="宋体" w:eastAsia="宋体" w:cs="宋体"/>
                <w:kern w:val="0"/>
                <w:sz w:val="24"/>
                <w:szCs w:val="24"/>
                <w:lang w:val="en-US" w:eastAsia="zh-CN" w:bidi="ar"/>
              </w:rPr>
              <w:t>根据投标人所提供样品的面料情况由评委在0～3分之间进行评分。</w:t>
            </w:r>
          </w:p>
        </w:tc>
      </w:tr>
      <w:tr w14:paraId="5C67064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082" w:hRule="atLeast"/>
        </w:trPr>
        <w:tc>
          <w:tcPr>
            <w:tcW w:w="1208" w:type="dxa"/>
            <w:tcBorders>
              <w:top w:val="outset" w:color="auto" w:sz="6" w:space="0"/>
              <w:left w:val="outset" w:color="auto" w:sz="6" w:space="0"/>
              <w:bottom w:val="outset" w:color="auto" w:sz="6" w:space="0"/>
              <w:right w:val="outset" w:color="auto" w:sz="6" w:space="0"/>
            </w:tcBorders>
            <w:shd w:val="clear" w:color="auto" w:fill="auto"/>
            <w:vAlign w:val="center"/>
          </w:tcPr>
          <w:p w14:paraId="00EAE1E1">
            <w:pPr>
              <w:keepNext w:val="0"/>
              <w:keepLines w:val="0"/>
              <w:widowControl/>
              <w:suppressLineNumbers w:val="0"/>
              <w:jc w:val="left"/>
            </w:pPr>
            <w:r>
              <w:rPr>
                <w:rFonts w:ascii="宋体" w:hAnsi="宋体" w:eastAsia="宋体" w:cs="宋体"/>
                <w:kern w:val="0"/>
                <w:sz w:val="24"/>
                <w:szCs w:val="24"/>
                <w:lang w:val="en-US" w:eastAsia="zh-CN" w:bidi="ar"/>
              </w:rPr>
              <w:t>A4-3、样品情况</w:t>
            </w:r>
          </w:p>
        </w:tc>
        <w:tc>
          <w:tcPr>
            <w:tcW w:w="1156" w:type="dxa"/>
            <w:tcBorders>
              <w:top w:val="outset" w:color="auto" w:sz="6" w:space="0"/>
              <w:left w:val="outset" w:color="auto" w:sz="6" w:space="0"/>
              <w:bottom w:val="outset" w:color="auto" w:sz="6" w:space="0"/>
              <w:right w:val="outset" w:color="auto" w:sz="6" w:space="0"/>
            </w:tcBorders>
            <w:shd w:val="clear" w:color="auto" w:fill="auto"/>
            <w:vAlign w:val="center"/>
          </w:tcPr>
          <w:p w14:paraId="1218F7E1">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16" w:type="dxa"/>
            <w:tcBorders>
              <w:top w:val="outset" w:color="auto" w:sz="6" w:space="0"/>
              <w:left w:val="outset" w:color="auto" w:sz="6" w:space="0"/>
              <w:bottom w:val="outset" w:color="auto" w:sz="6" w:space="0"/>
              <w:right w:val="outset" w:color="auto" w:sz="6" w:space="0"/>
            </w:tcBorders>
            <w:shd w:val="clear" w:color="auto" w:fill="auto"/>
            <w:vAlign w:val="center"/>
          </w:tcPr>
          <w:p w14:paraId="2686DBF0">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根据投标人所提供样品的整体工艺水平由评委在0～3分之间进行评分。</w:t>
            </w:r>
          </w:p>
        </w:tc>
      </w:tr>
      <w:tr w14:paraId="77F52CB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108" w:hRule="atLeast"/>
        </w:trPr>
        <w:tc>
          <w:tcPr>
            <w:tcW w:w="1208" w:type="dxa"/>
            <w:tcBorders>
              <w:top w:val="outset" w:color="auto" w:sz="6" w:space="0"/>
              <w:left w:val="outset" w:color="auto" w:sz="6" w:space="0"/>
              <w:bottom w:val="outset" w:color="auto" w:sz="6" w:space="0"/>
              <w:right w:val="outset" w:color="auto" w:sz="6" w:space="0"/>
            </w:tcBorders>
            <w:shd w:val="clear" w:color="auto" w:fill="auto"/>
            <w:vAlign w:val="center"/>
          </w:tcPr>
          <w:p w14:paraId="18692D26">
            <w:pPr>
              <w:keepNext w:val="0"/>
              <w:keepLines w:val="0"/>
              <w:widowControl/>
              <w:suppressLineNumbers w:val="0"/>
              <w:jc w:val="left"/>
            </w:pPr>
            <w:r>
              <w:rPr>
                <w:rFonts w:ascii="宋体" w:hAnsi="宋体" w:eastAsia="宋体" w:cs="宋体"/>
                <w:kern w:val="0"/>
                <w:sz w:val="24"/>
                <w:szCs w:val="24"/>
                <w:lang w:val="en-US" w:eastAsia="zh-CN" w:bidi="ar"/>
              </w:rPr>
              <w:t>A4-4、样品情况</w:t>
            </w:r>
          </w:p>
        </w:tc>
        <w:tc>
          <w:tcPr>
            <w:tcW w:w="1156" w:type="dxa"/>
            <w:tcBorders>
              <w:top w:val="outset" w:color="auto" w:sz="6" w:space="0"/>
              <w:left w:val="outset" w:color="auto" w:sz="6" w:space="0"/>
              <w:bottom w:val="outset" w:color="auto" w:sz="6" w:space="0"/>
              <w:right w:val="outset" w:color="auto" w:sz="6" w:space="0"/>
            </w:tcBorders>
            <w:shd w:val="clear" w:color="auto" w:fill="auto"/>
            <w:vAlign w:val="center"/>
          </w:tcPr>
          <w:p w14:paraId="4B3C0E81">
            <w:pPr>
              <w:keepNext w:val="0"/>
              <w:keepLines w:val="0"/>
              <w:widowControl/>
              <w:suppressLineNumbers w:val="0"/>
              <w:jc w:val="center"/>
            </w:pPr>
            <w:r>
              <w:rPr>
                <w:rFonts w:ascii="宋体" w:hAnsi="宋体" w:eastAsia="宋体" w:cs="宋体"/>
                <w:kern w:val="0"/>
                <w:sz w:val="24"/>
                <w:szCs w:val="24"/>
                <w:lang w:val="en-US" w:eastAsia="zh-CN" w:bidi="ar"/>
              </w:rPr>
              <w:t>2</w:t>
            </w:r>
          </w:p>
        </w:tc>
        <w:tc>
          <w:tcPr>
            <w:tcW w:w="5916" w:type="dxa"/>
            <w:tcBorders>
              <w:top w:val="outset" w:color="auto" w:sz="6" w:space="0"/>
              <w:left w:val="outset" w:color="auto" w:sz="6" w:space="0"/>
              <w:bottom w:val="outset" w:color="auto" w:sz="6" w:space="0"/>
              <w:right w:val="outset" w:color="auto" w:sz="6" w:space="0"/>
            </w:tcBorders>
            <w:shd w:val="clear" w:color="auto" w:fill="auto"/>
            <w:vAlign w:val="center"/>
          </w:tcPr>
          <w:p w14:paraId="077E1652">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根据投标人所提供样品的手感情况由评委在0～2分之间进行评分。</w:t>
            </w:r>
          </w:p>
        </w:tc>
      </w:tr>
    </w:tbl>
    <w:p w14:paraId="17925281">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318647D">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21A8023">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6550DAF">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59084142">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③商务项（</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）满分为</w:t>
      </w:r>
      <w:r>
        <w:rPr>
          <w:rFonts w:hint="eastAsia" w:ascii="宋体" w:hAnsi="宋体" w:eastAsia="宋体" w:cs="宋体"/>
          <w:sz w:val="24"/>
          <w:szCs w:val="24"/>
          <w:u w:val="single"/>
        </w:rPr>
        <w:t>15</w:t>
      </w:r>
      <w:r>
        <w:rPr>
          <w:rFonts w:hint="eastAsia" w:ascii="宋体" w:hAnsi="宋体" w:eastAsia="宋体" w:cs="宋体"/>
          <w:sz w:val="24"/>
          <w:szCs w:val="24"/>
        </w:rPr>
        <w:t>分。</w:t>
      </w:r>
    </w:p>
    <w:tbl>
      <w:tblPr>
        <w:tblStyle w:val="6"/>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146"/>
        <w:gridCol w:w="1005"/>
        <w:gridCol w:w="6165"/>
      </w:tblGrid>
      <w:tr w14:paraId="5B92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blHeader/>
        </w:trPr>
        <w:tc>
          <w:tcPr>
            <w:tcW w:w="1146" w:type="dxa"/>
            <w:tcBorders>
              <w:tl2br w:val="nil"/>
              <w:tr2bl w:val="nil"/>
            </w:tcBorders>
            <w:shd w:val="clear" w:color="auto" w:fill="auto"/>
            <w:vAlign w:val="center"/>
          </w:tcPr>
          <w:p w14:paraId="3062E0BA">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1005" w:type="dxa"/>
            <w:tcBorders>
              <w:tl2br w:val="nil"/>
              <w:tr2bl w:val="nil"/>
            </w:tcBorders>
            <w:shd w:val="clear" w:color="auto" w:fill="auto"/>
            <w:vAlign w:val="center"/>
          </w:tcPr>
          <w:p w14:paraId="54A76B14">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165" w:type="dxa"/>
            <w:tcBorders>
              <w:tl2br w:val="nil"/>
              <w:tr2bl w:val="nil"/>
            </w:tcBorders>
            <w:shd w:val="clear" w:color="auto" w:fill="auto"/>
            <w:vAlign w:val="center"/>
          </w:tcPr>
          <w:p w14:paraId="69F03F52">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14:paraId="40C07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146" w:type="dxa"/>
            <w:tcBorders>
              <w:tl2br w:val="nil"/>
              <w:tr2bl w:val="nil"/>
            </w:tcBorders>
            <w:shd w:val="clear" w:color="auto" w:fill="auto"/>
            <w:vAlign w:val="center"/>
          </w:tcPr>
          <w:p w14:paraId="147A420D">
            <w:pPr>
              <w:keepNext w:val="0"/>
              <w:keepLines w:val="0"/>
              <w:widowControl/>
              <w:suppressLineNumbers w:val="0"/>
              <w:jc w:val="left"/>
            </w:pPr>
            <w:r>
              <w:rPr>
                <w:rFonts w:ascii="宋体" w:hAnsi="宋体" w:eastAsia="宋体" w:cs="宋体"/>
                <w:kern w:val="0"/>
                <w:sz w:val="24"/>
                <w:szCs w:val="24"/>
                <w:lang w:val="en-US" w:eastAsia="zh-CN" w:bidi="ar"/>
              </w:rPr>
              <w:t>B1、业绩</w:t>
            </w:r>
          </w:p>
        </w:tc>
        <w:tc>
          <w:tcPr>
            <w:tcW w:w="1005" w:type="dxa"/>
            <w:tcBorders>
              <w:tl2br w:val="nil"/>
              <w:tr2bl w:val="nil"/>
            </w:tcBorders>
            <w:shd w:val="clear" w:color="auto" w:fill="auto"/>
            <w:vAlign w:val="center"/>
          </w:tcPr>
          <w:p w14:paraId="06DA5EAB">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165" w:type="dxa"/>
            <w:tcBorders>
              <w:tl2br w:val="nil"/>
              <w:tr2bl w:val="nil"/>
            </w:tcBorders>
            <w:shd w:val="clear" w:color="auto" w:fill="auto"/>
            <w:vAlign w:val="center"/>
          </w:tcPr>
          <w:p w14:paraId="62607A73">
            <w:pPr>
              <w:keepNext w:val="0"/>
              <w:keepLines w:val="0"/>
              <w:widowControl/>
              <w:suppressLineNumbers w:val="0"/>
              <w:jc w:val="left"/>
            </w:pPr>
            <w:r>
              <w:rPr>
                <w:rFonts w:ascii="宋体" w:hAnsi="宋体" w:eastAsia="宋体" w:cs="宋体"/>
                <w:kern w:val="0"/>
                <w:sz w:val="24"/>
                <w:szCs w:val="24"/>
                <w:lang w:val="en-US" w:eastAsia="zh-CN" w:bidi="ar"/>
              </w:rPr>
              <w:t>根据投标人所提供的从2016年1月1日起至本次投标截止日期(日期以验收报告时间为准)在国内所完成的同类项目业绩情况进行打分，每提供一份得1分，满分3分。【投标人须列表并提供该业绩项目的中标公告（提供相关网站中标公告的下载网页并注明网址）、中标通知书复印件、采购合同文本复印件，以及能够证明该业绩项目已经采购人验收合格的相关证明文件复印件，所有材料缺一不可，否则不得分。原件备查。】</w:t>
            </w:r>
          </w:p>
        </w:tc>
      </w:tr>
      <w:tr w14:paraId="4BF89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46" w:type="dxa"/>
            <w:tcBorders>
              <w:tl2br w:val="nil"/>
              <w:tr2bl w:val="nil"/>
            </w:tcBorders>
            <w:shd w:val="clear" w:color="auto" w:fill="auto"/>
            <w:vAlign w:val="center"/>
          </w:tcPr>
          <w:p w14:paraId="58AC507B">
            <w:pPr>
              <w:keepNext w:val="0"/>
              <w:keepLines w:val="0"/>
              <w:widowControl/>
              <w:suppressLineNumbers w:val="0"/>
              <w:jc w:val="left"/>
            </w:pPr>
            <w:r>
              <w:rPr>
                <w:rFonts w:ascii="宋体" w:hAnsi="宋体" w:eastAsia="宋体" w:cs="宋体"/>
                <w:kern w:val="0"/>
                <w:sz w:val="24"/>
                <w:szCs w:val="24"/>
                <w:lang w:val="en-US" w:eastAsia="zh-CN" w:bidi="ar"/>
              </w:rPr>
              <w:t>B2、经营年限</w:t>
            </w:r>
          </w:p>
        </w:tc>
        <w:tc>
          <w:tcPr>
            <w:tcW w:w="1005" w:type="dxa"/>
            <w:tcBorders>
              <w:tl2br w:val="nil"/>
              <w:tr2bl w:val="nil"/>
            </w:tcBorders>
            <w:shd w:val="clear" w:color="auto" w:fill="auto"/>
            <w:vAlign w:val="center"/>
          </w:tcPr>
          <w:p w14:paraId="4EBF1E95">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165" w:type="dxa"/>
            <w:tcBorders>
              <w:tl2br w:val="nil"/>
              <w:tr2bl w:val="nil"/>
            </w:tcBorders>
            <w:shd w:val="clear" w:color="auto" w:fill="auto"/>
            <w:vAlign w:val="center"/>
          </w:tcPr>
          <w:p w14:paraId="444EE8EE">
            <w:pPr>
              <w:keepNext w:val="0"/>
              <w:keepLines w:val="0"/>
              <w:widowControl/>
              <w:suppressLineNumbers w:val="0"/>
              <w:jc w:val="left"/>
            </w:pPr>
            <w:r>
              <w:rPr>
                <w:rFonts w:ascii="宋体" w:hAnsi="宋体" w:eastAsia="宋体" w:cs="宋体"/>
                <w:kern w:val="0"/>
                <w:sz w:val="24"/>
                <w:szCs w:val="24"/>
                <w:lang w:val="en-US" w:eastAsia="zh-CN" w:bidi="ar"/>
              </w:rPr>
              <w:t>根据投标人经营年限(以营业执照为准)进行评分：投标人经营年限大于10年的，每增加1年得1分。（满分2分）注：须提供营业执照复印件，否则不得分。</w:t>
            </w:r>
          </w:p>
        </w:tc>
      </w:tr>
      <w:tr w14:paraId="7DEAD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146" w:type="dxa"/>
            <w:tcBorders>
              <w:tl2br w:val="nil"/>
              <w:tr2bl w:val="nil"/>
            </w:tcBorders>
            <w:shd w:val="clear" w:color="auto" w:fill="auto"/>
            <w:vAlign w:val="center"/>
          </w:tcPr>
          <w:p w14:paraId="1042BC95">
            <w:pPr>
              <w:keepNext w:val="0"/>
              <w:keepLines w:val="0"/>
              <w:widowControl/>
              <w:suppressLineNumbers w:val="0"/>
              <w:jc w:val="left"/>
            </w:pPr>
            <w:r>
              <w:rPr>
                <w:rFonts w:ascii="宋体" w:hAnsi="宋体" w:eastAsia="宋体" w:cs="宋体"/>
                <w:kern w:val="0"/>
                <w:sz w:val="24"/>
                <w:szCs w:val="24"/>
                <w:lang w:val="en-US" w:eastAsia="zh-CN" w:bidi="ar"/>
              </w:rPr>
              <w:t>B3、售后服务</w:t>
            </w:r>
          </w:p>
        </w:tc>
        <w:tc>
          <w:tcPr>
            <w:tcW w:w="1005" w:type="dxa"/>
            <w:tcBorders>
              <w:tl2br w:val="nil"/>
              <w:tr2bl w:val="nil"/>
            </w:tcBorders>
            <w:shd w:val="clear" w:color="auto" w:fill="auto"/>
            <w:vAlign w:val="center"/>
          </w:tcPr>
          <w:p w14:paraId="1DC8E843">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165" w:type="dxa"/>
            <w:tcBorders>
              <w:tl2br w:val="nil"/>
              <w:tr2bl w:val="nil"/>
            </w:tcBorders>
            <w:shd w:val="clear" w:color="auto" w:fill="auto"/>
            <w:vAlign w:val="center"/>
          </w:tcPr>
          <w:p w14:paraId="3CE721A1">
            <w:pPr>
              <w:keepNext w:val="0"/>
              <w:keepLines w:val="0"/>
              <w:widowControl/>
              <w:suppressLineNumbers w:val="0"/>
              <w:jc w:val="left"/>
            </w:pPr>
            <w:r>
              <w:rPr>
                <w:rFonts w:ascii="宋体" w:hAnsi="宋体" w:eastAsia="宋体" w:cs="宋体"/>
                <w:kern w:val="0"/>
                <w:sz w:val="24"/>
                <w:szCs w:val="24"/>
                <w:lang w:val="en-US" w:eastAsia="zh-CN" w:bidi="ar"/>
              </w:rPr>
              <w:t>根据投标人提供的售后服务承诺、反馈方式，维护响应时间、响应方式等情况进行评分，售后服务承诺优于招标文件，响应时间短，响应方式多样的得3分，售后服务承诺较好，售后服务响应内容一般的的1分；未提供任何售后服务承诺的得0分。</w:t>
            </w:r>
          </w:p>
        </w:tc>
      </w:tr>
      <w:tr w14:paraId="0D234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46" w:type="dxa"/>
            <w:tcBorders>
              <w:tl2br w:val="nil"/>
              <w:tr2bl w:val="nil"/>
            </w:tcBorders>
            <w:shd w:val="clear" w:color="auto" w:fill="auto"/>
            <w:vAlign w:val="center"/>
          </w:tcPr>
          <w:p w14:paraId="44A8597E">
            <w:pPr>
              <w:keepNext w:val="0"/>
              <w:keepLines w:val="0"/>
              <w:widowControl/>
              <w:suppressLineNumbers w:val="0"/>
              <w:jc w:val="left"/>
            </w:pPr>
            <w:r>
              <w:rPr>
                <w:rFonts w:ascii="宋体" w:hAnsi="宋体" w:eastAsia="宋体" w:cs="宋体"/>
                <w:kern w:val="0"/>
                <w:sz w:val="24"/>
                <w:szCs w:val="24"/>
                <w:lang w:val="en-US" w:eastAsia="zh-CN" w:bidi="ar"/>
              </w:rPr>
              <w:t>B4-1、综合实力</w:t>
            </w:r>
          </w:p>
        </w:tc>
        <w:tc>
          <w:tcPr>
            <w:tcW w:w="1005" w:type="dxa"/>
            <w:tcBorders>
              <w:tl2br w:val="nil"/>
              <w:tr2bl w:val="nil"/>
            </w:tcBorders>
            <w:shd w:val="clear" w:color="auto" w:fill="auto"/>
            <w:vAlign w:val="center"/>
          </w:tcPr>
          <w:p w14:paraId="5908A647">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165" w:type="dxa"/>
            <w:tcBorders>
              <w:tl2br w:val="nil"/>
              <w:tr2bl w:val="nil"/>
            </w:tcBorders>
            <w:shd w:val="clear" w:color="auto" w:fill="auto"/>
            <w:vAlign w:val="center"/>
          </w:tcPr>
          <w:p w14:paraId="69A7DFC6">
            <w:pPr>
              <w:keepNext w:val="0"/>
              <w:keepLines w:val="0"/>
              <w:widowControl/>
              <w:suppressLineNumbers w:val="0"/>
              <w:jc w:val="left"/>
            </w:pPr>
            <w:r>
              <w:rPr>
                <w:rFonts w:ascii="宋体" w:hAnsi="宋体" w:eastAsia="宋体" w:cs="宋体"/>
                <w:kern w:val="0"/>
                <w:sz w:val="24"/>
                <w:szCs w:val="24"/>
                <w:lang w:val="en-US" w:eastAsia="zh-CN" w:bidi="ar"/>
              </w:rPr>
              <w:t>根据投标人具有有效期内的ISO9001质量管理体系认证、ISO14001环境管理体系认证、职业健康安全管理体系认证的，每提供一项得1分，满分3分，未获认证或认证无效的不得分。投标人须同时提供有效证书复印件和全国认证认可信息公共服务平台（http://cx.cnca.cn）的查询结果“有效”的截图或网页打印件，并注明网址。</w:t>
            </w:r>
          </w:p>
        </w:tc>
      </w:tr>
      <w:tr w14:paraId="6584C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146" w:type="dxa"/>
            <w:tcBorders>
              <w:tl2br w:val="nil"/>
              <w:tr2bl w:val="nil"/>
            </w:tcBorders>
            <w:shd w:val="clear" w:color="auto" w:fill="auto"/>
            <w:vAlign w:val="center"/>
          </w:tcPr>
          <w:p w14:paraId="21D43DEA">
            <w:pPr>
              <w:keepNext w:val="0"/>
              <w:keepLines w:val="0"/>
              <w:widowControl/>
              <w:suppressLineNumbers w:val="0"/>
              <w:jc w:val="left"/>
            </w:pPr>
            <w:r>
              <w:rPr>
                <w:rFonts w:ascii="宋体" w:hAnsi="宋体" w:eastAsia="宋体" w:cs="宋体"/>
                <w:kern w:val="0"/>
                <w:sz w:val="24"/>
                <w:szCs w:val="24"/>
                <w:lang w:val="en-US" w:eastAsia="zh-CN" w:bidi="ar"/>
              </w:rPr>
              <w:t>B4-2、综合实力</w:t>
            </w:r>
          </w:p>
        </w:tc>
        <w:tc>
          <w:tcPr>
            <w:tcW w:w="1005" w:type="dxa"/>
            <w:tcBorders>
              <w:tl2br w:val="nil"/>
              <w:tr2bl w:val="nil"/>
            </w:tcBorders>
            <w:shd w:val="clear" w:color="auto" w:fill="auto"/>
            <w:vAlign w:val="center"/>
          </w:tcPr>
          <w:p w14:paraId="60372FFC">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165" w:type="dxa"/>
            <w:tcBorders>
              <w:tl2br w:val="nil"/>
              <w:tr2bl w:val="nil"/>
            </w:tcBorders>
            <w:shd w:val="clear" w:color="auto" w:fill="auto"/>
            <w:vAlign w:val="center"/>
          </w:tcPr>
          <w:p w14:paraId="334260E3">
            <w:pPr>
              <w:keepNext w:val="0"/>
              <w:keepLines w:val="0"/>
              <w:widowControl/>
              <w:suppressLineNumbers w:val="0"/>
              <w:jc w:val="left"/>
            </w:pPr>
            <w:r>
              <w:rPr>
                <w:rFonts w:ascii="宋体" w:hAnsi="宋体" w:eastAsia="宋体" w:cs="宋体"/>
                <w:kern w:val="0"/>
                <w:sz w:val="24"/>
                <w:szCs w:val="24"/>
                <w:lang w:val="en-US" w:eastAsia="zh-CN" w:bidi="ar"/>
              </w:rPr>
              <w:t>投标人获得第三方认证机构颁发的AAA级企业信用等级证书的得1分。（须提供复印件并加盖公章，原件备查）</w:t>
            </w:r>
          </w:p>
        </w:tc>
      </w:tr>
      <w:tr w14:paraId="631D8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146" w:type="dxa"/>
            <w:tcBorders>
              <w:tl2br w:val="nil"/>
              <w:tr2bl w:val="nil"/>
            </w:tcBorders>
            <w:shd w:val="clear" w:color="auto" w:fill="auto"/>
            <w:vAlign w:val="center"/>
          </w:tcPr>
          <w:p w14:paraId="55EBF3FE">
            <w:pPr>
              <w:keepNext w:val="0"/>
              <w:keepLines w:val="0"/>
              <w:widowControl/>
              <w:suppressLineNumbers w:val="0"/>
              <w:jc w:val="left"/>
            </w:pPr>
            <w:r>
              <w:rPr>
                <w:rFonts w:ascii="宋体" w:hAnsi="宋体" w:eastAsia="宋体" w:cs="宋体"/>
                <w:kern w:val="0"/>
                <w:sz w:val="24"/>
                <w:szCs w:val="24"/>
                <w:lang w:val="en-US" w:eastAsia="zh-CN" w:bidi="ar"/>
              </w:rPr>
              <w:t>B4-3、综合实力</w:t>
            </w:r>
          </w:p>
        </w:tc>
        <w:tc>
          <w:tcPr>
            <w:tcW w:w="1005" w:type="dxa"/>
            <w:tcBorders>
              <w:tl2br w:val="nil"/>
              <w:tr2bl w:val="nil"/>
            </w:tcBorders>
            <w:shd w:val="clear" w:color="auto" w:fill="auto"/>
            <w:vAlign w:val="center"/>
          </w:tcPr>
          <w:p w14:paraId="5D06E868">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165" w:type="dxa"/>
            <w:tcBorders>
              <w:tl2br w:val="nil"/>
              <w:tr2bl w:val="nil"/>
            </w:tcBorders>
            <w:shd w:val="clear" w:color="auto" w:fill="auto"/>
            <w:vAlign w:val="center"/>
          </w:tcPr>
          <w:p w14:paraId="5A89EA0E">
            <w:pPr>
              <w:keepNext w:val="0"/>
              <w:keepLines w:val="0"/>
              <w:widowControl/>
              <w:suppressLineNumbers w:val="0"/>
              <w:jc w:val="left"/>
            </w:pPr>
            <w:r>
              <w:rPr>
                <w:rFonts w:ascii="宋体" w:hAnsi="宋体" w:eastAsia="宋体" w:cs="宋体"/>
                <w:kern w:val="0"/>
                <w:sz w:val="24"/>
                <w:szCs w:val="24"/>
                <w:lang w:val="en-US" w:eastAsia="zh-CN" w:bidi="ar"/>
              </w:rPr>
              <w:t>投标人获得省级或以上政府部门、工商部门或者第三方认证机构颁发的 “重合同守信用”证书的得1分，（须提供复印件并加盖公章，原件备查）。</w:t>
            </w:r>
          </w:p>
        </w:tc>
      </w:tr>
      <w:tr w14:paraId="326EF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146" w:type="dxa"/>
            <w:tcBorders>
              <w:tl2br w:val="nil"/>
              <w:tr2bl w:val="nil"/>
            </w:tcBorders>
            <w:shd w:val="clear" w:color="auto" w:fill="auto"/>
            <w:vAlign w:val="center"/>
          </w:tcPr>
          <w:p w14:paraId="4F532D52">
            <w:pPr>
              <w:keepNext w:val="0"/>
              <w:keepLines w:val="0"/>
              <w:widowControl/>
              <w:suppressLineNumbers w:val="0"/>
              <w:jc w:val="left"/>
            </w:pPr>
            <w:r>
              <w:rPr>
                <w:rFonts w:ascii="宋体" w:hAnsi="宋体" w:eastAsia="宋体" w:cs="宋体"/>
                <w:kern w:val="0"/>
                <w:sz w:val="24"/>
                <w:szCs w:val="24"/>
                <w:lang w:val="en-US" w:eastAsia="zh-CN" w:bidi="ar"/>
              </w:rPr>
              <w:t>B4-4、综合实力</w:t>
            </w:r>
          </w:p>
        </w:tc>
        <w:tc>
          <w:tcPr>
            <w:tcW w:w="1005" w:type="dxa"/>
            <w:tcBorders>
              <w:tl2br w:val="nil"/>
              <w:tr2bl w:val="nil"/>
            </w:tcBorders>
            <w:shd w:val="clear" w:color="auto" w:fill="auto"/>
            <w:vAlign w:val="center"/>
          </w:tcPr>
          <w:p w14:paraId="79457365">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165" w:type="dxa"/>
            <w:tcBorders>
              <w:tl2br w:val="nil"/>
              <w:tr2bl w:val="nil"/>
            </w:tcBorders>
            <w:shd w:val="clear" w:color="auto" w:fill="auto"/>
            <w:vAlign w:val="center"/>
          </w:tcPr>
          <w:p w14:paraId="72C809BB">
            <w:pPr>
              <w:keepNext w:val="0"/>
              <w:keepLines w:val="0"/>
              <w:widowControl/>
              <w:suppressLineNumbers w:val="0"/>
              <w:jc w:val="left"/>
            </w:pPr>
            <w:r>
              <w:rPr>
                <w:rFonts w:ascii="宋体" w:hAnsi="宋体" w:eastAsia="宋体" w:cs="宋体"/>
                <w:kern w:val="0"/>
                <w:sz w:val="24"/>
                <w:szCs w:val="24"/>
                <w:lang w:val="en-US" w:eastAsia="zh-CN" w:bidi="ar"/>
              </w:rPr>
              <w:t>投标人被收录为民政部救灾司、国家减灾中心编制的《自然灾害应急救助物资生产商参考名录（2019版）》的得2分。注：须提供相关证明材料，否则不得分。（满分2分）</w:t>
            </w:r>
          </w:p>
        </w:tc>
      </w:tr>
    </w:tbl>
    <w:p w14:paraId="07F9ADF3">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D91CD3A">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2450BAC2">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6F43A2AB">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A5100D7">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7D28CD3C">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96B23B1">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7D347F1A">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④加分项（</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w:t>
      </w:r>
    </w:p>
    <w:p w14:paraId="558A60B8">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a.优先类节能产品、环境标志产品：</w:t>
      </w:r>
    </w:p>
    <w:p w14:paraId="3D92E4BC">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20%</w:t>
      </w:r>
      <w:r>
        <w:rPr>
          <w:rFonts w:hint="eastAsia" w:ascii="宋体" w:hAnsi="宋体" w:eastAsia="宋体" w:cs="宋体"/>
          <w:sz w:val="24"/>
          <w:szCs w:val="24"/>
        </w:rPr>
        <w:t>（含</w:t>
      </w:r>
      <w:r>
        <w:rPr>
          <w:rFonts w:hint="default" w:ascii="Calibri" w:hAnsi="Calibri" w:eastAsia="宋体" w:cs="Calibri"/>
          <w:sz w:val="24"/>
          <w:szCs w:val="24"/>
        </w:rPr>
        <w:t>20%</w:t>
      </w:r>
      <w:r>
        <w:rPr>
          <w:rFonts w:hint="eastAsia" w:ascii="宋体" w:hAnsi="宋体" w:eastAsia="宋体" w:cs="宋体"/>
          <w:sz w:val="24"/>
          <w:szCs w:val="24"/>
        </w:rPr>
        <w:t>）以下，将分别给予节能、环境标志产品价格项（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4%</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20%-50%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6%</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50%</w:t>
      </w:r>
      <w:r>
        <w:rPr>
          <w:rFonts w:hint="eastAsia" w:ascii="宋体" w:hAnsi="宋体" w:eastAsia="宋体" w:cs="宋体"/>
          <w:sz w:val="24"/>
          <w:szCs w:val="24"/>
        </w:rPr>
        <w:t>以上的，将分别给予节能、环境标志产品价格项（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8%</w:t>
      </w:r>
      <w:r>
        <w:rPr>
          <w:rFonts w:hint="eastAsia" w:ascii="宋体" w:hAnsi="宋体" w:eastAsia="宋体" w:cs="宋体"/>
          <w:sz w:val="24"/>
          <w:szCs w:val="24"/>
        </w:rPr>
        <w:t>的加分。</w:t>
      </w:r>
    </w:p>
    <w:p w14:paraId="653879CF">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a2若节能、环境标志产品仅是构成投标产品的部件、组件或零件，则该投标产品不享受鼓励优惠政策。同一品目中各认证证书不重复计算加分。强制类节能产品不享受加分。</w:t>
      </w:r>
    </w:p>
    <w:tbl>
      <w:tblPr>
        <w:tblStyle w:val="6"/>
        <w:tblW w:w="8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15"/>
        <w:gridCol w:w="1205"/>
        <w:gridCol w:w="6120"/>
      </w:tblGrid>
      <w:tr w14:paraId="0DD11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88" w:hRule="atLeast"/>
          <w:tblHeader/>
        </w:trPr>
        <w:tc>
          <w:tcPr>
            <w:tcW w:w="1015" w:type="dxa"/>
            <w:tcBorders>
              <w:tl2br w:val="nil"/>
              <w:tr2bl w:val="nil"/>
            </w:tcBorders>
            <w:shd w:val="clear" w:color="auto" w:fill="auto"/>
            <w:vAlign w:val="center"/>
          </w:tcPr>
          <w:p w14:paraId="46D52575">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205" w:type="dxa"/>
            <w:tcBorders>
              <w:tl2br w:val="nil"/>
              <w:tr2bl w:val="nil"/>
            </w:tcBorders>
            <w:shd w:val="clear" w:color="auto" w:fill="auto"/>
            <w:vAlign w:val="center"/>
          </w:tcPr>
          <w:p w14:paraId="7EF76CA0">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120" w:type="dxa"/>
            <w:tcBorders>
              <w:tl2br w:val="nil"/>
              <w:tr2bl w:val="nil"/>
            </w:tcBorders>
            <w:shd w:val="clear" w:color="auto" w:fill="auto"/>
            <w:vAlign w:val="center"/>
          </w:tcPr>
          <w:p w14:paraId="4B0E48E3">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4A10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585" w:hRule="atLeast"/>
        </w:trPr>
        <w:tc>
          <w:tcPr>
            <w:tcW w:w="1015" w:type="dxa"/>
            <w:tcBorders>
              <w:tl2br w:val="nil"/>
              <w:tr2bl w:val="nil"/>
            </w:tcBorders>
            <w:shd w:val="clear" w:color="auto" w:fill="auto"/>
            <w:vAlign w:val="center"/>
          </w:tcPr>
          <w:p w14:paraId="044BBD22">
            <w:pPr>
              <w:keepNext w:val="0"/>
              <w:keepLines w:val="0"/>
              <w:widowControl/>
              <w:suppressLineNumbers w:val="0"/>
              <w:jc w:val="left"/>
            </w:pPr>
            <w:r>
              <w:rPr>
                <w:rFonts w:ascii="宋体" w:hAnsi="宋体" w:eastAsia="宋体" w:cs="宋体"/>
                <w:kern w:val="0"/>
                <w:sz w:val="24"/>
                <w:szCs w:val="24"/>
                <w:lang w:val="en-US" w:eastAsia="zh-CN" w:bidi="ar"/>
              </w:rPr>
              <w:t>节能、减排、环境标志产品部分</w:t>
            </w:r>
          </w:p>
        </w:tc>
        <w:tc>
          <w:tcPr>
            <w:tcW w:w="1205" w:type="dxa"/>
            <w:tcBorders>
              <w:tl2br w:val="nil"/>
              <w:tr2bl w:val="nil"/>
            </w:tcBorders>
            <w:shd w:val="clear" w:color="auto" w:fill="auto"/>
            <w:vAlign w:val="center"/>
          </w:tcPr>
          <w:p w14:paraId="42BF6014">
            <w:pPr>
              <w:keepNext w:val="0"/>
              <w:keepLines w:val="0"/>
              <w:widowControl/>
              <w:suppressLineNumbers w:val="0"/>
              <w:jc w:val="left"/>
            </w:pPr>
            <w:r>
              <w:rPr>
                <w:rFonts w:ascii="宋体" w:hAnsi="宋体" w:eastAsia="宋体" w:cs="宋体"/>
                <w:kern w:val="0"/>
                <w:sz w:val="24"/>
                <w:szCs w:val="24"/>
                <w:lang w:val="en-US" w:eastAsia="zh-CN" w:bidi="ar"/>
              </w:rPr>
              <w:t>6.8</w:t>
            </w:r>
          </w:p>
        </w:tc>
        <w:tc>
          <w:tcPr>
            <w:tcW w:w="6120" w:type="dxa"/>
            <w:tcBorders>
              <w:tl2br w:val="nil"/>
              <w:tr2bl w:val="nil"/>
            </w:tcBorders>
            <w:shd w:val="clear" w:color="auto" w:fill="auto"/>
            <w:vAlign w:val="center"/>
          </w:tcPr>
          <w:p w14:paraId="4FE3AFEF">
            <w:pPr>
              <w:keepNext w:val="0"/>
              <w:keepLines w:val="0"/>
              <w:widowControl/>
              <w:suppressLineNumbers w:val="0"/>
              <w:jc w:val="left"/>
            </w:pPr>
            <w:r>
              <w:rPr>
                <w:rFonts w:ascii="宋体" w:hAnsi="宋体" w:eastAsia="宋体" w:cs="宋体"/>
                <w:kern w:val="0"/>
                <w:sz w:val="24"/>
                <w:szCs w:val="24"/>
                <w:lang w:val="en-US" w:eastAsia="zh-CN" w:bidi="ar"/>
              </w:rPr>
              <w:t>（1）根据《国务院办公厅关于建立政府强制采购节能产品制度的通知》(国办发[2007]51号)和财政部、发展改革委发布的《节能产品政府采购实施意见》(财库[2004]185号)以及《财政部、国家发展改革委关于调整节能产品政府采购清单的通知》财库〔2017〕129号的规定，节能清单中的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为政府强制采购的节能产品(具体品目以“★”标注)，本次采购货物中属政府强制采购节能产品的，投标人所投产品必须是财政部、国家发展改革委公示的《节能产品政府采购清单》内产品，并提供产品的证明资料复印件加盖投标人公章，否则投标无效。 (2)节能(非强制类产品)、减排、环境标志产品评审优惠内容及幅度如下： ①、若同一合同包内的节能(非强制类产品)、减排、环境标志产品报价总金额低于本合同包报价总金额20%(含20%)以下的，将分别给予节能、减排、环境标志产品价格评标项和技术评标项标准总分值4％的加分； ②、若同一合同包内节能(非强制类产品)、减排、环境标志产品报价总金额占本合同包报价总金额20%-50%(含50%)的，将分别给予节能、减排、环境标志产品在价格评标项和技术评标项标准总分值6％的加分； ③、若同一合同包内节能(非强制类产品)、减排、环境标志产品报价总金额占本合同包报价总金额50%以上的，将分别给予节能、减排、环境标志产品在价格评标项和技术评标项标准总分值8％的加分。 注：本次政府采购活动已经开展但尚未进入评审环节的，执行本期和下期节能清单。对于同时列入财政部、环境保护部公示的《环境标志产品政府采购清单》和财政部、国家发展改革委公示的《节能产品政府采购清单》的产品，应当优先于只获得其中一项认证的产品。 投标人在投标时必须对属于节能、减排、环境标志产品单独在节能（非强制类）、环境标志产品统计表中填写，并提供产品的证明资料复印件附在报价部分(电子证明资料应上传在对应评分模块)且加盖投标人公章。未单独分项报价或未按规定提供产品的证明资料的不给予加分。投标产品属于节能、减排、环境标志清单内产品的，可享受相关的鼓励优惠政策；若节能、减排、环境标志清单内的产品仅是构成投标产品的部件、组件或零件的，则该投标产品不享受鼓励优惠政策。评标委员会审查此项响应性只根据投标文件本身的内容，而不寻求其他的外部证据。</w:t>
            </w:r>
          </w:p>
        </w:tc>
      </w:tr>
    </w:tbl>
    <w:p w14:paraId="429A4005">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（4）中标候选人排列规则顺序如下：</w:t>
      </w:r>
    </w:p>
    <w:p w14:paraId="360289D9">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a.按照评标总得分（</w:t>
      </w:r>
      <w:r>
        <w:rPr>
          <w:rFonts w:hint="default" w:ascii="Calibri" w:hAnsi="Calibri" w:eastAsia="宋体" w:cs="Calibri"/>
          <w:sz w:val="24"/>
          <w:szCs w:val="24"/>
        </w:rPr>
        <w:t>FA</w:t>
      </w:r>
      <w:r>
        <w:rPr>
          <w:rFonts w:hint="eastAsia" w:ascii="宋体" w:hAnsi="宋体" w:eastAsia="宋体" w:cs="宋体"/>
          <w:sz w:val="24"/>
          <w:szCs w:val="24"/>
        </w:rPr>
        <w:t>）由高到低顺序排列。</w:t>
      </w:r>
    </w:p>
    <w:p w14:paraId="3A22DDBF">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b.评标总得分（</w:t>
      </w:r>
      <w:r>
        <w:rPr>
          <w:rFonts w:hint="default" w:ascii="Calibri" w:hAnsi="Calibri" w:eastAsia="宋体" w:cs="Calibri"/>
          <w:sz w:val="24"/>
          <w:szCs w:val="24"/>
        </w:rPr>
        <w:t>FA</w:t>
      </w:r>
      <w:r>
        <w:rPr>
          <w:rFonts w:hint="eastAsia" w:ascii="宋体" w:hAnsi="宋体" w:eastAsia="宋体" w:cs="宋体"/>
          <w:sz w:val="24"/>
          <w:szCs w:val="24"/>
        </w:rPr>
        <w:t>）相同的，按照评标价（即价格扣除后的投标报价）由低到高顺序排列。</w:t>
      </w:r>
    </w:p>
    <w:p w14:paraId="47AB4068">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c.评标总得分（</w:t>
      </w:r>
      <w:r>
        <w:rPr>
          <w:rFonts w:hint="default" w:ascii="Calibri" w:hAnsi="Calibri" w:eastAsia="宋体" w:cs="Calibri"/>
          <w:sz w:val="24"/>
          <w:szCs w:val="24"/>
        </w:rPr>
        <w:t>FA</w:t>
      </w:r>
      <w:r>
        <w:rPr>
          <w:rFonts w:hint="eastAsia" w:ascii="宋体" w:hAnsi="宋体" w:eastAsia="宋体" w:cs="宋体"/>
          <w:sz w:val="24"/>
          <w:szCs w:val="24"/>
        </w:rPr>
        <w:t>）且评标价（即价格扣除后的投标报价）相同的并列。</w:t>
      </w:r>
    </w:p>
    <w:p w14:paraId="2DFCDDB8">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3FF89505">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7C6D30D0">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0141D42C">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29360FB1">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273B3828">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47998A54">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4A25D288">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10759961">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62995E9C">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2F6E03B3">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380A5677">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340AA57E">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4F7E68B6">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3369F868">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7B0E3DC1">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5B18A794">
      <w:pPr>
        <w:pStyle w:val="5"/>
        <w:keepNext w:val="0"/>
        <w:keepLines w:val="0"/>
        <w:widowControl/>
        <w:suppressLineNumbers w:val="0"/>
        <w:shd w:val="clear" w:fill="FFFFFF"/>
        <w:spacing w:before="0" w:beforeAutospacing="0" w:after="150" w:afterAutospacing="0"/>
        <w:ind w:left="0" w:right="0"/>
        <w:rPr>
          <w:rFonts w:hint="eastAsia" w:ascii="微软雅黑" w:hAnsi="微软雅黑" w:eastAsia="微软雅黑" w:cs="微软雅黑"/>
          <w:color w:val="393939"/>
          <w:sz w:val="19"/>
          <w:szCs w:val="19"/>
        </w:rPr>
      </w:pPr>
      <w:r>
        <w:rPr>
          <w:rStyle w:val="8"/>
          <w:rFonts w:hint="eastAsia" w:ascii="宋体" w:hAnsi="宋体" w:eastAsia="宋体" w:cs="宋体"/>
          <w:b/>
          <w:color w:val="393939"/>
          <w:sz w:val="24"/>
          <w:szCs w:val="24"/>
          <w:shd w:val="clear" w:fill="FFFFFF"/>
        </w:rPr>
        <w:t>合同包7采用综合评分法</w:t>
      </w:r>
      <w:r>
        <w:rPr>
          <w:rFonts w:hint="eastAsia" w:ascii="宋体" w:hAnsi="宋体" w:eastAsia="宋体" w:cs="宋体"/>
          <w:color w:val="393939"/>
          <w:sz w:val="24"/>
          <w:szCs w:val="24"/>
          <w:shd w:val="clear" w:fill="FFFFFF"/>
        </w:rPr>
        <w:t>：</w:t>
      </w:r>
    </w:p>
    <w:p w14:paraId="4645893A">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（1）投标文件满足招标文件全部实质性要求，且按照评审因素的量化指标评审得分（即评标总得分）最高的投标人为中标候选人。</w:t>
      </w:r>
    </w:p>
    <w:p w14:paraId="1F168D6C">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（2）每个投标人的评标总得分</w:t>
      </w:r>
      <w:r>
        <w:rPr>
          <w:rFonts w:hint="default" w:ascii="Calibri" w:hAnsi="Calibri" w:eastAsia="宋体" w:cs="Calibri"/>
          <w:sz w:val="24"/>
          <w:szCs w:val="24"/>
        </w:rPr>
        <w:t>FA</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（若有），其中：</w:t>
      </w:r>
      <w:r>
        <w:rPr>
          <w:rFonts w:hint="default" w:ascii="Calibri" w:hAnsi="Calibri" w:eastAsia="宋体" w:cs="Calibri"/>
          <w:sz w:val="24"/>
          <w:szCs w:val="24"/>
        </w:rPr>
        <w:t>F1</w:t>
      </w:r>
      <w:r>
        <w:rPr>
          <w:rFonts w:hint="eastAsia" w:ascii="宋体" w:hAnsi="宋体" w:eastAsia="宋体" w:cs="宋体"/>
          <w:sz w:val="24"/>
          <w:szCs w:val="24"/>
        </w:rPr>
        <w:t>指价格项评审因素得分、</w:t>
      </w:r>
      <w:r>
        <w:rPr>
          <w:rFonts w:hint="default" w:ascii="Calibri" w:hAnsi="Calibri" w:eastAsia="宋体" w:cs="Calibri"/>
          <w:sz w:val="24"/>
          <w:szCs w:val="24"/>
        </w:rPr>
        <w:t>F2</w:t>
      </w:r>
      <w:r>
        <w:rPr>
          <w:rFonts w:hint="eastAsia" w:ascii="宋体" w:hAnsi="宋体" w:eastAsia="宋体" w:cs="宋体"/>
          <w:sz w:val="24"/>
          <w:szCs w:val="24"/>
        </w:rPr>
        <w:t>指技术项评审因素得分、</w:t>
      </w:r>
      <w:r>
        <w:rPr>
          <w:rFonts w:hint="default" w:ascii="Calibri" w:hAnsi="Calibri" w:eastAsia="宋体" w:cs="Calibri"/>
          <w:sz w:val="24"/>
          <w:szCs w:val="24"/>
        </w:rPr>
        <w:t>F3</w:t>
      </w:r>
      <w:r>
        <w:rPr>
          <w:rFonts w:hint="eastAsia" w:ascii="宋体" w:hAnsi="宋体" w:eastAsia="宋体" w:cs="宋体"/>
          <w:sz w:val="24"/>
          <w:szCs w:val="24"/>
        </w:rPr>
        <w:t>指商务项评审因素得分，</w:t>
      </w:r>
      <w:r>
        <w:rPr>
          <w:rFonts w:hint="default" w:ascii="Calibri" w:hAnsi="Calibri" w:eastAsia="宋体" w:cs="Calibri"/>
          <w:sz w:val="24"/>
          <w:szCs w:val="24"/>
        </w:rPr>
        <w:t>A1</w:t>
      </w:r>
      <w:r>
        <w:rPr>
          <w:rFonts w:hint="eastAsia" w:ascii="宋体" w:hAnsi="宋体" w:eastAsia="宋体" w:cs="宋体"/>
          <w:sz w:val="24"/>
          <w:szCs w:val="24"/>
        </w:rPr>
        <w:t>指价格项评审因素所占的权重、</w:t>
      </w:r>
      <w:r>
        <w:rPr>
          <w:rFonts w:hint="default" w:ascii="Calibri" w:hAnsi="Calibri" w:eastAsia="宋体" w:cs="Calibri"/>
          <w:sz w:val="24"/>
          <w:szCs w:val="24"/>
        </w:rPr>
        <w:t>A2</w:t>
      </w:r>
      <w:r>
        <w:rPr>
          <w:rFonts w:hint="eastAsia" w:ascii="宋体" w:hAnsi="宋体" w:eastAsia="宋体" w:cs="宋体"/>
          <w:sz w:val="24"/>
          <w:szCs w:val="24"/>
        </w:rPr>
        <w:t>指技术项评审因素所占的权重、</w:t>
      </w:r>
      <w:r>
        <w:rPr>
          <w:rFonts w:hint="default" w:ascii="Calibri" w:hAnsi="Calibri" w:eastAsia="宋体" w:cs="Calibri"/>
          <w:sz w:val="24"/>
          <w:szCs w:val="24"/>
        </w:rPr>
        <w:t>A3</w:t>
      </w:r>
      <w:r>
        <w:rPr>
          <w:rFonts w:hint="eastAsia" w:ascii="宋体" w:hAnsi="宋体" w:eastAsia="宋体" w:cs="宋体"/>
          <w:sz w:val="24"/>
          <w:szCs w:val="24"/>
        </w:rPr>
        <w:t>指商务项评审因素所占的权重，</w:t>
      </w:r>
      <w:r>
        <w:rPr>
          <w:rFonts w:hint="default" w:ascii="Calibri" w:hAnsi="Calibri" w:eastAsia="宋体" w:cs="Calibri"/>
          <w:sz w:val="24"/>
          <w:szCs w:val="24"/>
        </w:rPr>
        <w:t>A1+A2+A3=1</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A3=100</w:t>
      </w:r>
      <w:r>
        <w:rPr>
          <w:rFonts w:hint="eastAsia" w:ascii="宋体" w:hAnsi="宋体" w:eastAsia="宋体" w:cs="宋体"/>
          <w:sz w:val="24"/>
          <w:szCs w:val="24"/>
        </w:rPr>
        <w:t>分（满分时），</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为加分项（即优先类节能产品、环境标志产品在采购活动中可享有的加分优惠）。</w:t>
      </w:r>
    </w:p>
    <w:p w14:paraId="1F8D69B3">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（3）各项评审因素的设置如下：</w:t>
      </w:r>
    </w:p>
    <w:p w14:paraId="0F537006">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①价格项（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）满分为</w:t>
      </w:r>
      <w:r>
        <w:rPr>
          <w:rFonts w:hint="eastAsia" w:ascii="宋体" w:hAnsi="宋体" w:eastAsia="宋体" w:cs="宋体"/>
          <w:sz w:val="24"/>
          <w:szCs w:val="24"/>
          <w:u w:val="single"/>
        </w:rPr>
        <w:t>30</w:t>
      </w:r>
      <w:r>
        <w:rPr>
          <w:rFonts w:hint="eastAsia" w:ascii="宋体" w:hAnsi="宋体" w:eastAsia="宋体" w:cs="宋体"/>
          <w:sz w:val="24"/>
          <w:szCs w:val="24"/>
        </w:rPr>
        <w:t>分。</w:t>
      </w:r>
    </w:p>
    <w:p w14:paraId="01D53160">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24"/>
          <w:szCs w:val="24"/>
        </w:rPr>
        <w:t>=</w:t>
      </w:r>
      <w:r>
        <w:rPr>
          <w:rFonts w:hint="eastAsia" w:ascii="宋体" w:hAnsi="宋体" w:eastAsia="宋体" w:cs="宋体"/>
          <w:sz w:val="24"/>
          <w:szCs w:val="24"/>
        </w:rPr>
        <w:t>（评标基准价／投标报价）×</w:t>
      </w:r>
      <w:r>
        <w:rPr>
          <w:rFonts w:hint="default" w:ascii="Calibri" w:hAnsi="Calibri" w:eastAsia="宋体" w:cs="Calibri"/>
          <w:sz w:val="24"/>
          <w:szCs w:val="24"/>
        </w:rPr>
        <w:t>100</w:t>
      </w:r>
      <w:r>
        <w:rPr>
          <w:rFonts w:hint="eastAsia" w:ascii="宋体" w:hAnsi="宋体" w:eastAsia="宋体" w:cs="宋体"/>
          <w:sz w:val="24"/>
          <w:szCs w:val="24"/>
        </w:rPr>
        <w:t>。因落实政府采购政策需进行价格扣除的，以扣除后的价格计算评标基准价和投标报价。</w:t>
      </w:r>
    </w:p>
    <w:p w14:paraId="14105F45">
      <w:pPr>
        <w:pStyle w:val="5"/>
        <w:keepNext w:val="0"/>
        <w:keepLines w:val="0"/>
        <w:widowControl/>
        <w:suppressLineNumbers w:val="0"/>
        <w:spacing w:before="0" w:beforeAutospacing="0" w:after="150" w:afterAutospacing="0"/>
        <w:ind w:left="0" w:right="0" w:firstLine="480"/>
      </w:pPr>
      <w:r>
        <w:rPr>
          <w:rFonts w:hint="default" w:ascii="Calibri" w:hAnsi="Calibri" w:cs="Calibri"/>
          <w:sz w:val="24"/>
          <w:szCs w:val="24"/>
        </w:rPr>
        <w:t>b.</w:t>
      </w:r>
      <w:r>
        <w:rPr>
          <w:rFonts w:hint="eastAsia" w:ascii="宋体" w:hAnsi="宋体" w:eastAsia="宋体" w:cs="宋体"/>
          <w:sz w:val="24"/>
          <w:szCs w:val="24"/>
        </w:rPr>
        <w:t>价格扣除的规则如下：</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71"/>
        <w:gridCol w:w="7151"/>
      </w:tblGrid>
      <w:tr w14:paraId="54A4A1A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14:paraId="76F356DF">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14:paraId="42086DAB">
            <w:pPr>
              <w:keepNext w:val="0"/>
              <w:keepLines w:val="0"/>
              <w:widowControl/>
              <w:suppressLineNumbers w:val="0"/>
              <w:jc w:val="center"/>
            </w:pPr>
            <w:r>
              <w:rPr>
                <w:rFonts w:ascii="宋体" w:hAnsi="宋体" w:eastAsia="宋体" w:cs="宋体"/>
                <w:kern w:val="0"/>
                <w:sz w:val="24"/>
                <w:szCs w:val="24"/>
                <w:lang w:val="en-US" w:eastAsia="zh-CN" w:bidi="ar"/>
              </w:rPr>
              <w:t>评标方法</w:t>
            </w:r>
          </w:p>
        </w:tc>
      </w:tr>
      <w:tr w14:paraId="5BAC62D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14:paraId="5E268F68">
            <w:pPr>
              <w:keepNext w:val="0"/>
              <w:keepLines w:val="0"/>
              <w:widowControl/>
              <w:suppressLineNumbers w:val="0"/>
              <w:jc w:val="left"/>
            </w:pPr>
            <w:r>
              <w:rPr>
                <w:rFonts w:ascii="宋体" w:hAnsi="宋体" w:eastAsia="宋体" w:cs="宋体"/>
                <w:kern w:val="0"/>
                <w:sz w:val="24"/>
                <w:szCs w:val="24"/>
                <w:lang w:val="en-US" w:eastAsia="zh-CN" w:bidi="ar"/>
              </w:rPr>
              <w:t>小型、微型企业，监狱企业，残疾人</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14:paraId="64AB63DB">
            <w:pPr>
              <w:keepNext w:val="0"/>
              <w:keepLines w:val="0"/>
              <w:widowControl/>
              <w:suppressLineNumbers w:val="0"/>
              <w:jc w:val="left"/>
            </w:pPr>
            <w:r>
              <w:rPr>
                <w:rStyle w:val="8"/>
                <w:rFonts w:ascii="宋体" w:hAnsi="宋体" w:eastAsia="宋体" w:cs="宋体"/>
                <w:b/>
                <w:kern w:val="0"/>
                <w:sz w:val="24"/>
                <w:szCs w:val="24"/>
                <w:lang w:val="en-US" w:eastAsia="zh-CN" w:bidi="ar"/>
              </w:rPr>
              <w:t>小型、微型企业，监狱企业，残疾人 《政府采购促进中小企业发展暂行办法》价格的扣除：1、根据财政部、工信部印发的《政府采购促进中小企业发展暂行办法》财库〔2011〕181号，本办法所称中小企业(含中型、小型、微型企业，下同)应当同时符合以下条件：(1)符合中小企业划分标准；(2)提供本企业制造的货物、承担的工程或者服务，或者提供其他中小企业制造的货物。本项所称货物不包括使用大型企业注册商标的货物。本办法所称中小企业划分标准，是指国务院有关部门根据企业从业人员、营业收入、资产总额等指标制定的中小企业划型标准。小型、微型企业提供中型企业制造的货物的，视同为中型企业。2、本项目为非专门面向中小企业的项目，对小型和微型企业产品的价格给予6%的扣除，用扣除后的价格参与评审。残疾人集中就业企业、监狱企业视同小型和微型企业，享受评审中价格扣除的政府采购政策。3、参加政府采购活动的中小企业应当提供《政府采购促进中小企业发展暂行办法》规定的《中小企业声明函》(见第七章投标文件格式)。4、政府采购对中小企业的认定，由企业所在地的县级以上中小企业主管部门负责。须提供中小企业主管部门的证明函，否则不予价格扣除。5、监狱企业参加政府采购活动时，应当提供由省级以上监狱管理局、戒毒管理局(含新疆生产建设兵团)出具的属于监狱企业的证明文件，否则不予价格扣除。注：投标人在报价时必须对提供本企业制造的货物、承担的工程或者服务，或者提供其他中小企业制造的货物单独在小型、微型企业产品统计表中填写，并提供相关证明资料复印件附在报价部分(电子证明资料应上传在对应评分模块)且加盖投标人公章。未单独分项报价或未按规定提供相关证明资料的不给予价格扣除。评标委员会审查此项响应性只根据投标文件本身的内容，而不寻求其他的外部证据。残疾人福利性单位产品《三部门联合发布关于促进残疾人就业政府采购政策的通知》价格的扣除：1、根据财政部、民政部、中国残疾人联合会印发的《三部门联合发布关于促进残疾人就业政府采购政策的通知》财库〔2017〕141号，依照《政府采购法》、《残疾人保障法》等法律法规及相关规定，享受政府采购支持政策的残疾人福利性单位应当同时满足以下条件：(1)安置的残疾人占本单位在职职工人数的比例不低于25%(含25%)，并且安置的残疾人人数不少于10人(含10人)；(2)依法与安置的每位残疾人签订了一年以上(含一年)的劳动合同或服务协议；(3)为安置的每位残疾人按月足额缴纳了基本养老保险、基本医疗保险、失业保险、工伤保险和生育保险等社会保险费；(4)通过银行等金融机构向安置的每位残疾人，按月支付了不低于单位所在区县适用的经省级人民政府批准的月最低工资标准的工资；(5)提供本单位制造的货物、承担的工程或者服务(以下简称产品)，或者提供其他残疾人福利性单位制造的货物(不包括使用非残疾人福利性单位注册商标的货物)。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2、符合条件的残疾人福利性单位在参加政府采购活动时，应当提供《三部门联合发布关于促进残疾人就业政府采购政策的通知》规定的《残疾人福利性单位声明函》(见招标文件格式)，并对声明的真实性负责。3、在政府采购活动中，残疾人福利性单位视同小型、微型企业，享受“《政府采购促进中小企业发展暂行办法》价格的扣除”的政府采购政策。残疾人福利性单位属于小型、微型企业的，不重复享受政策。</w:t>
            </w:r>
          </w:p>
        </w:tc>
      </w:tr>
    </w:tbl>
    <w:p w14:paraId="5CF70616">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D8F075C">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9D72D50">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8E2A62C">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A1A7873">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0317536">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4766507">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45EEA85">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513956D0">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5EFD2286">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CAD93F7">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7DC683FA">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4077DF5">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②技术项（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）满分为</w:t>
      </w:r>
      <w:r>
        <w:rPr>
          <w:rFonts w:hint="eastAsia" w:ascii="宋体" w:hAnsi="宋体" w:eastAsia="宋体" w:cs="宋体"/>
          <w:sz w:val="24"/>
          <w:szCs w:val="24"/>
          <w:u w:val="single"/>
        </w:rPr>
        <w:t>55</w:t>
      </w:r>
      <w:r>
        <w:rPr>
          <w:rFonts w:hint="eastAsia" w:ascii="宋体" w:hAnsi="宋体" w:eastAsia="宋体" w:cs="宋体"/>
          <w:sz w:val="24"/>
          <w:szCs w:val="24"/>
        </w:rPr>
        <w:t>分。</w:t>
      </w:r>
    </w:p>
    <w:tbl>
      <w:tblPr>
        <w:tblStyle w:val="6"/>
        <w:tblW w:w="834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212"/>
        <w:gridCol w:w="1199"/>
        <w:gridCol w:w="5929"/>
      </w:tblGrid>
      <w:tr w14:paraId="1BFF66A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55" w:hRule="atLeast"/>
          <w:tblHeader/>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14:paraId="4728CD50">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199" w:type="dxa"/>
            <w:tcBorders>
              <w:top w:val="outset" w:color="auto" w:sz="6" w:space="0"/>
              <w:left w:val="outset" w:color="auto" w:sz="6" w:space="0"/>
              <w:bottom w:val="outset" w:color="auto" w:sz="6" w:space="0"/>
              <w:right w:val="outset" w:color="auto" w:sz="6" w:space="0"/>
            </w:tcBorders>
            <w:shd w:val="clear" w:color="auto" w:fill="auto"/>
            <w:vAlign w:val="center"/>
          </w:tcPr>
          <w:p w14:paraId="25FA3545">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5929" w:type="dxa"/>
            <w:tcBorders>
              <w:top w:val="outset" w:color="auto" w:sz="6" w:space="0"/>
              <w:left w:val="outset" w:color="auto" w:sz="6" w:space="0"/>
              <w:bottom w:val="outset" w:color="auto" w:sz="6" w:space="0"/>
              <w:right w:val="outset" w:color="auto" w:sz="6" w:space="0"/>
            </w:tcBorders>
            <w:shd w:val="clear" w:color="auto" w:fill="auto"/>
            <w:vAlign w:val="center"/>
          </w:tcPr>
          <w:p w14:paraId="7BD729EC">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42BD399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204"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14:paraId="75805738">
            <w:pPr>
              <w:keepNext w:val="0"/>
              <w:keepLines w:val="0"/>
              <w:widowControl/>
              <w:suppressLineNumbers w:val="0"/>
              <w:jc w:val="left"/>
            </w:pPr>
            <w:r>
              <w:rPr>
                <w:rFonts w:ascii="宋体" w:hAnsi="宋体" w:eastAsia="宋体" w:cs="宋体"/>
                <w:kern w:val="0"/>
                <w:sz w:val="24"/>
                <w:szCs w:val="24"/>
                <w:lang w:val="en-US" w:eastAsia="zh-CN" w:bidi="ar"/>
              </w:rPr>
              <w:t>A1、所投货物技术的响应情况</w:t>
            </w:r>
          </w:p>
        </w:tc>
        <w:tc>
          <w:tcPr>
            <w:tcW w:w="1199" w:type="dxa"/>
            <w:tcBorders>
              <w:top w:val="outset" w:color="auto" w:sz="6" w:space="0"/>
              <w:left w:val="outset" w:color="auto" w:sz="6" w:space="0"/>
              <w:bottom w:val="outset" w:color="auto" w:sz="6" w:space="0"/>
              <w:right w:val="outset" w:color="auto" w:sz="6" w:space="0"/>
            </w:tcBorders>
            <w:shd w:val="clear" w:color="auto" w:fill="auto"/>
            <w:vAlign w:val="center"/>
          </w:tcPr>
          <w:p w14:paraId="39B79182">
            <w:pPr>
              <w:keepNext w:val="0"/>
              <w:keepLines w:val="0"/>
              <w:widowControl/>
              <w:suppressLineNumbers w:val="0"/>
              <w:jc w:val="center"/>
            </w:pPr>
            <w:r>
              <w:rPr>
                <w:rFonts w:ascii="宋体" w:hAnsi="宋体" w:eastAsia="宋体" w:cs="宋体"/>
                <w:kern w:val="0"/>
                <w:sz w:val="24"/>
                <w:szCs w:val="24"/>
                <w:lang w:val="en-US" w:eastAsia="zh-CN" w:bidi="ar"/>
              </w:rPr>
              <w:t>38</w:t>
            </w:r>
          </w:p>
        </w:tc>
        <w:tc>
          <w:tcPr>
            <w:tcW w:w="5929" w:type="dxa"/>
            <w:tcBorders>
              <w:top w:val="outset" w:color="auto" w:sz="6" w:space="0"/>
              <w:left w:val="outset" w:color="auto" w:sz="6" w:space="0"/>
              <w:bottom w:val="outset" w:color="auto" w:sz="6" w:space="0"/>
              <w:right w:val="outset" w:color="auto" w:sz="6" w:space="0"/>
            </w:tcBorders>
            <w:shd w:val="clear" w:color="auto" w:fill="auto"/>
            <w:vAlign w:val="center"/>
          </w:tcPr>
          <w:p w14:paraId="5F96430A">
            <w:pPr>
              <w:keepNext w:val="0"/>
              <w:keepLines w:val="0"/>
              <w:widowControl/>
              <w:suppressLineNumbers w:val="0"/>
              <w:jc w:val="left"/>
            </w:pPr>
            <w:r>
              <w:rPr>
                <w:rFonts w:ascii="宋体" w:hAnsi="宋体" w:eastAsia="宋体" w:cs="宋体"/>
                <w:kern w:val="0"/>
                <w:sz w:val="24"/>
                <w:szCs w:val="24"/>
                <w:lang w:val="en-US" w:eastAsia="zh-CN" w:bidi="ar"/>
              </w:rPr>
              <w:t>根据投标人对招标文件第五章《招标内容及要求》二、技术和服务要求“合同包7：“3KG棉被”参数要求的逐项响应、承诺的情况由评委进行评议评分，投标人所投产品完全满足招标文件技术规范及要求的得38分，有负偏离情况的，每负偏离一项扣3分，扣完为止，正偏离不加分。（满分38分）</w:t>
            </w:r>
          </w:p>
        </w:tc>
      </w:tr>
      <w:tr w14:paraId="1D06848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614"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14:paraId="543B519E">
            <w:pPr>
              <w:keepNext w:val="0"/>
              <w:keepLines w:val="0"/>
              <w:widowControl/>
              <w:suppressLineNumbers w:val="0"/>
              <w:jc w:val="left"/>
            </w:pPr>
            <w:r>
              <w:rPr>
                <w:rFonts w:ascii="宋体" w:hAnsi="宋体" w:eastAsia="宋体" w:cs="宋体"/>
                <w:kern w:val="0"/>
                <w:sz w:val="24"/>
                <w:szCs w:val="24"/>
                <w:lang w:val="en-US" w:eastAsia="zh-CN" w:bidi="ar"/>
              </w:rPr>
              <w:t>A2、生产情况说明</w:t>
            </w:r>
          </w:p>
        </w:tc>
        <w:tc>
          <w:tcPr>
            <w:tcW w:w="1199" w:type="dxa"/>
            <w:tcBorders>
              <w:top w:val="outset" w:color="auto" w:sz="6" w:space="0"/>
              <w:left w:val="outset" w:color="auto" w:sz="6" w:space="0"/>
              <w:bottom w:val="outset" w:color="auto" w:sz="6" w:space="0"/>
              <w:right w:val="outset" w:color="auto" w:sz="6" w:space="0"/>
            </w:tcBorders>
            <w:shd w:val="clear" w:color="auto" w:fill="auto"/>
            <w:vAlign w:val="center"/>
          </w:tcPr>
          <w:p w14:paraId="6EACFDA9">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29" w:type="dxa"/>
            <w:tcBorders>
              <w:top w:val="outset" w:color="auto" w:sz="6" w:space="0"/>
              <w:left w:val="outset" w:color="auto" w:sz="6" w:space="0"/>
              <w:bottom w:val="outset" w:color="auto" w:sz="6" w:space="0"/>
              <w:right w:val="outset" w:color="auto" w:sz="6" w:space="0"/>
            </w:tcBorders>
            <w:shd w:val="clear" w:color="auto" w:fill="auto"/>
            <w:vAlign w:val="center"/>
          </w:tcPr>
          <w:p w14:paraId="27782F67">
            <w:pPr>
              <w:keepNext w:val="0"/>
              <w:keepLines w:val="0"/>
              <w:widowControl/>
              <w:suppressLineNumbers w:val="0"/>
              <w:jc w:val="left"/>
            </w:pPr>
            <w:r>
              <w:rPr>
                <w:rFonts w:ascii="宋体" w:hAnsi="宋体" w:eastAsia="宋体" w:cs="宋体"/>
                <w:kern w:val="0"/>
                <w:sz w:val="24"/>
                <w:szCs w:val="24"/>
                <w:lang w:val="en-US" w:eastAsia="zh-CN" w:bidi="ar"/>
              </w:rPr>
              <w:t>根据投标人提供的生产计划，生产方案、产品工艺流程说明、加工设备清单等进行横向评议，由评委在0～3分之间进行评分。</w:t>
            </w:r>
          </w:p>
        </w:tc>
      </w:tr>
      <w:tr w14:paraId="2460DFB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144"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14:paraId="2E843F2E">
            <w:pPr>
              <w:keepNext w:val="0"/>
              <w:keepLines w:val="0"/>
              <w:widowControl/>
              <w:suppressLineNumbers w:val="0"/>
              <w:jc w:val="left"/>
            </w:pPr>
            <w:r>
              <w:rPr>
                <w:rFonts w:ascii="宋体" w:hAnsi="宋体" w:eastAsia="宋体" w:cs="宋体"/>
                <w:kern w:val="0"/>
                <w:sz w:val="24"/>
                <w:szCs w:val="24"/>
                <w:lang w:val="en-US" w:eastAsia="zh-CN" w:bidi="ar"/>
              </w:rPr>
              <w:t>A3、项目保障措施</w:t>
            </w:r>
          </w:p>
        </w:tc>
        <w:tc>
          <w:tcPr>
            <w:tcW w:w="1199" w:type="dxa"/>
            <w:tcBorders>
              <w:top w:val="outset" w:color="auto" w:sz="6" w:space="0"/>
              <w:left w:val="outset" w:color="auto" w:sz="6" w:space="0"/>
              <w:bottom w:val="outset" w:color="auto" w:sz="6" w:space="0"/>
              <w:right w:val="outset" w:color="auto" w:sz="6" w:space="0"/>
            </w:tcBorders>
            <w:shd w:val="clear" w:color="auto" w:fill="auto"/>
            <w:vAlign w:val="center"/>
          </w:tcPr>
          <w:p w14:paraId="27A99CEA">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29" w:type="dxa"/>
            <w:tcBorders>
              <w:top w:val="outset" w:color="auto" w:sz="6" w:space="0"/>
              <w:left w:val="outset" w:color="auto" w:sz="6" w:space="0"/>
              <w:bottom w:val="outset" w:color="auto" w:sz="6" w:space="0"/>
              <w:right w:val="outset" w:color="auto" w:sz="6" w:space="0"/>
            </w:tcBorders>
            <w:shd w:val="clear" w:color="auto" w:fill="auto"/>
            <w:vAlign w:val="center"/>
          </w:tcPr>
          <w:p w14:paraId="34FD8787">
            <w:pPr>
              <w:keepNext w:val="0"/>
              <w:keepLines w:val="0"/>
              <w:widowControl/>
              <w:suppressLineNumbers w:val="0"/>
              <w:jc w:val="left"/>
            </w:pPr>
            <w:r>
              <w:rPr>
                <w:rFonts w:ascii="宋体" w:hAnsi="宋体" w:eastAsia="宋体" w:cs="宋体"/>
                <w:kern w:val="0"/>
                <w:sz w:val="24"/>
                <w:szCs w:val="24"/>
                <w:lang w:val="en-US" w:eastAsia="zh-CN" w:bidi="ar"/>
              </w:rPr>
              <w:t>根据投标人提供的产品检测方案、质量保障，供货保障方案详细程度等进行横向评议，保障方案罗列齐全详细且保障方案可行性强的得3分；方案一般但较为合理的得2分，保障方案不合理或未提供保障方案的本项不得分。</w:t>
            </w:r>
          </w:p>
        </w:tc>
      </w:tr>
      <w:tr w14:paraId="638AA2F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84"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14:paraId="561F480A">
            <w:pPr>
              <w:keepNext w:val="0"/>
              <w:keepLines w:val="0"/>
              <w:widowControl/>
              <w:suppressLineNumbers w:val="0"/>
              <w:jc w:val="left"/>
            </w:pPr>
            <w:r>
              <w:rPr>
                <w:rFonts w:ascii="宋体" w:hAnsi="宋体" w:eastAsia="宋体" w:cs="宋体"/>
                <w:kern w:val="0"/>
                <w:sz w:val="24"/>
                <w:szCs w:val="24"/>
                <w:lang w:val="en-US" w:eastAsia="zh-CN" w:bidi="ar"/>
              </w:rPr>
              <w:t>A4-1、样品情况</w:t>
            </w:r>
          </w:p>
        </w:tc>
        <w:tc>
          <w:tcPr>
            <w:tcW w:w="1199" w:type="dxa"/>
            <w:tcBorders>
              <w:top w:val="outset" w:color="auto" w:sz="6" w:space="0"/>
              <w:left w:val="outset" w:color="auto" w:sz="6" w:space="0"/>
              <w:bottom w:val="outset" w:color="auto" w:sz="6" w:space="0"/>
              <w:right w:val="outset" w:color="auto" w:sz="6" w:space="0"/>
            </w:tcBorders>
            <w:shd w:val="clear" w:color="auto" w:fill="auto"/>
            <w:vAlign w:val="center"/>
          </w:tcPr>
          <w:p w14:paraId="28C58323">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29" w:type="dxa"/>
            <w:tcBorders>
              <w:top w:val="outset" w:color="auto" w:sz="6" w:space="0"/>
              <w:left w:val="outset" w:color="auto" w:sz="6" w:space="0"/>
              <w:bottom w:val="outset" w:color="auto" w:sz="6" w:space="0"/>
              <w:right w:val="outset" w:color="auto" w:sz="6" w:space="0"/>
            </w:tcBorders>
            <w:shd w:val="clear" w:color="auto" w:fill="auto"/>
            <w:vAlign w:val="center"/>
          </w:tcPr>
          <w:p w14:paraId="11077350">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根据投标人所提供样品的整体质量情况由评委在0～3分之间进行评分。</w:t>
            </w:r>
          </w:p>
        </w:tc>
      </w:tr>
      <w:tr w14:paraId="1BEF700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84"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14:paraId="3060E307">
            <w:pPr>
              <w:keepNext w:val="0"/>
              <w:keepLines w:val="0"/>
              <w:widowControl/>
              <w:suppressLineNumbers w:val="0"/>
              <w:jc w:val="left"/>
            </w:pPr>
            <w:r>
              <w:rPr>
                <w:rFonts w:ascii="宋体" w:hAnsi="宋体" w:eastAsia="宋体" w:cs="宋体"/>
                <w:kern w:val="0"/>
                <w:sz w:val="24"/>
                <w:szCs w:val="24"/>
                <w:lang w:val="en-US" w:eastAsia="zh-CN" w:bidi="ar"/>
              </w:rPr>
              <w:t>A4-2、样品情况</w:t>
            </w:r>
          </w:p>
        </w:tc>
        <w:tc>
          <w:tcPr>
            <w:tcW w:w="1199" w:type="dxa"/>
            <w:tcBorders>
              <w:top w:val="outset" w:color="auto" w:sz="6" w:space="0"/>
              <w:left w:val="outset" w:color="auto" w:sz="6" w:space="0"/>
              <w:bottom w:val="outset" w:color="auto" w:sz="6" w:space="0"/>
              <w:right w:val="outset" w:color="auto" w:sz="6" w:space="0"/>
            </w:tcBorders>
            <w:shd w:val="clear" w:color="auto" w:fill="auto"/>
            <w:vAlign w:val="center"/>
          </w:tcPr>
          <w:p w14:paraId="38172EF1">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29" w:type="dxa"/>
            <w:tcBorders>
              <w:top w:val="outset" w:color="auto" w:sz="6" w:space="0"/>
              <w:left w:val="outset" w:color="auto" w:sz="6" w:space="0"/>
              <w:bottom w:val="outset" w:color="auto" w:sz="6" w:space="0"/>
              <w:right w:val="outset" w:color="auto" w:sz="6" w:space="0"/>
            </w:tcBorders>
            <w:shd w:val="clear" w:color="auto" w:fill="auto"/>
            <w:vAlign w:val="center"/>
          </w:tcPr>
          <w:p w14:paraId="34C2251C">
            <w:pPr>
              <w:keepNext w:val="0"/>
              <w:keepLines w:val="0"/>
              <w:widowControl/>
              <w:suppressLineNumbers w:val="0"/>
              <w:jc w:val="left"/>
            </w:pPr>
            <w:r>
              <w:rPr>
                <w:rFonts w:ascii="宋体" w:hAnsi="宋体" w:eastAsia="宋体" w:cs="宋体"/>
                <w:kern w:val="0"/>
                <w:sz w:val="24"/>
                <w:szCs w:val="24"/>
                <w:lang w:val="en-US" w:eastAsia="zh-CN" w:bidi="ar"/>
              </w:rPr>
              <w:t>根据投标人所提供样品的面料情况由评委在0～3分之间进行评分。</w:t>
            </w:r>
          </w:p>
        </w:tc>
      </w:tr>
      <w:tr w14:paraId="5B70AD1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084"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14:paraId="461AE4DA">
            <w:pPr>
              <w:keepNext w:val="0"/>
              <w:keepLines w:val="0"/>
              <w:widowControl/>
              <w:suppressLineNumbers w:val="0"/>
              <w:jc w:val="left"/>
            </w:pPr>
            <w:r>
              <w:rPr>
                <w:rFonts w:ascii="宋体" w:hAnsi="宋体" w:eastAsia="宋体" w:cs="宋体"/>
                <w:kern w:val="0"/>
                <w:sz w:val="24"/>
                <w:szCs w:val="24"/>
                <w:lang w:val="en-US" w:eastAsia="zh-CN" w:bidi="ar"/>
              </w:rPr>
              <w:t>A4-3、样品情况</w:t>
            </w:r>
          </w:p>
        </w:tc>
        <w:tc>
          <w:tcPr>
            <w:tcW w:w="1199" w:type="dxa"/>
            <w:tcBorders>
              <w:top w:val="outset" w:color="auto" w:sz="6" w:space="0"/>
              <w:left w:val="outset" w:color="auto" w:sz="6" w:space="0"/>
              <w:bottom w:val="outset" w:color="auto" w:sz="6" w:space="0"/>
              <w:right w:val="outset" w:color="auto" w:sz="6" w:space="0"/>
            </w:tcBorders>
            <w:shd w:val="clear" w:color="auto" w:fill="auto"/>
            <w:vAlign w:val="center"/>
          </w:tcPr>
          <w:p w14:paraId="45D41AD9">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29" w:type="dxa"/>
            <w:tcBorders>
              <w:top w:val="outset" w:color="auto" w:sz="6" w:space="0"/>
              <w:left w:val="outset" w:color="auto" w:sz="6" w:space="0"/>
              <w:bottom w:val="outset" w:color="auto" w:sz="6" w:space="0"/>
              <w:right w:val="outset" w:color="auto" w:sz="6" w:space="0"/>
            </w:tcBorders>
            <w:shd w:val="clear" w:color="auto" w:fill="auto"/>
            <w:vAlign w:val="center"/>
          </w:tcPr>
          <w:p w14:paraId="09A33D0C">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根据投标人所提供样品的整体工艺水平由评委在0～3分之间进行评分。</w:t>
            </w:r>
          </w:p>
        </w:tc>
      </w:tr>
      <w:tr w14:paraId="5B9BA6E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110"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14:paraId="25024D79">
            <w:pPr>
              <w:keepNext w:val="0"/>
              <w:keepLines w:val="0"/>
              <w:widowControl/>
              <w:suppressLineNumbers w:val="0"/>
              <w:jc w:val="left"/>
            </w:pPr>
            <w:r>
              <w:rPr>
                <w:rFonts w:ascii="宋体" w:hAnsi="宋体" w:eastAsia="宋体" w:cs="宋体"/>
                <w:kern w:val="0"/>
                <w:sz w:val="24"/>
                <w:szCs w:val="24"/>
                <w:lang w:val="en-US" w:eastAsia="zh-CN" w:bidi="ar"/>
              </w:rPr>
              <w:t>A4-4、样品情况</w:t>
            </w:r>
          </w:p>
        </w:tc>
        <w:tc>
          <w:tcPr>
            <w:tcW w:w="1199" w:type="dxa"/>
            <w:tcBorders>
              <w:top w:val="outset" w:color="auto" w:sz="6" w:space="0"/>
              <w:left w:val="outset" w:color="auto" w:sz="6" w:space="0"/>
              <w:bottom w:val="outset" w:color="auto" w:sz="6" w:space="0"/>
              <w:right w:val="outset" w:color="auto" w:sz="6" w:space="0"/>
            </w:tcBorders>
            <w:shd w:val="clear" w:color="auto" w:fill="auto"/>
            <w:vAlign w:val="center"/>
          </w:tcPr>
          <w:p w14:paraId="4F053D0D">
            <w:pPr>
              <w:keepNext w:val="0"/>
              <w:keepLines w:val="0"/>
              <w:widowControl/>
              <w:suppressLineNumbers w:val="0"/>
              <w:jc w:val="center"/>
            </w:pPr>
            <w:r>
              <w:rPr>
                <w:rFonts w:ascii="宋体" w:hAnsi="宋体" w:eastAsia="宋体" w:cs="宋体"/>
                <w:kern w:val="0"/>
                <w:sz w:val="24"/>
                <w:szCs w:val="24"/>
                <w:lang w:val="en-US" w:eastAsia="zh-CN" w:bidi="ar"/>
              </w:rPr>
              <w:t>2</w:t>
            </w:r>
          </w:p>
        </w:tc>
        <w:tc>
          <w:tcPr>
            <w:tcW w:w="5929" w:type="dxa"/>
            <w:tcBorders>
              <w:top w:val="outset" w:color="auto" w:sz="6" w:space="0"/>
              <w:left w:val="outset" w:color="auto" w:sz="6" w:space="0"/>
              <w:bottom w:val="outset" w:color="auto" w:sz="6" w:space="0"/>
              <w:right w:val="outset" w:color="auto" w:sz="6" w:space="0"/>
            </w:tcBorders>
            <w:shd w:val="clear" w:color="auto" w:fill="auto"/>
            <w:vAlign w:val="center"/>
          </w:tcPr>
          <w:p w14:paraId="2A328CCB">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根据投标人所提供样品的手感情况由评委在0～2分之间进行评分。</w:t>
            </w:r>
          </w:p>
        </w:tc>
      </w:tr>
    </w:tbl>
    <w:p w14:paraId="7C1EAF5F">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560DA7D6">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5A630DBB">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6DAA76C">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③商务项（</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）满分为</w:t>
      </w:r>
      <w:r>
        <w:rPr>
          <w:rFonts w:hint="eastAsia" w:ascii="宋体" w:hAnsi="宋体" w:eastAsia="宋体" w:cs="宋体"/>
          <w:sz w:val="24"/>
          <w:szCs w:val="24"/>
          <w:u w:val="single"/>
        </w:rPr>
        <w:t>15</w:t>
      </w:r>
      <w:r>
        <w:rPr>
          <w:rFonts w:hint="eastAsia" w:ascii="宋体" w:hAnsi="宋体" w:eastAsia="宋体" w:cs="宋体"/>
          <w:sz w:val="24"/>
          <w:szCs w:val="24"/>
        </w:rPr>
        <w:t>分。</w:t>
      </w:r>
    </w:p>
    <w:tbl>
      <w:tblPr>
        <w:tblStyle w:val="6"/>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146"/>
        <w:gridCol w:w="990"/>
        <w:gridCol w:w="6180"/>
      </w:tblGrid>
      <w:tr w14:paraId="56F39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blHeader/>
        </w:trPr>
        <w:tc>
          <w:tcPr>
            <w:tcW w:w="1146" w:type="dxa"/>
            <w:tcBorders>
              <w:tl2br w:val="nil"/>
              <w:tr2bl w:val="nil"/>
            </w:tcBorders>
            <w:shd w:val="clear" w:color="auto" w:fill="auto"/>
            <w:vAlign w:val="center"/>
          </w:tcPr>
          <w:p w14:paraId="680861FF">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990" w:type="dxa"/>
            <w:tcBorders>
              <w:tl2br w:val="nil"/>
              <w:tr2bl w:val="nil"/>
            </w:tcBorders>
            <w:shd w:val="clear" w:color="auto" w:fill="auto"/>
            <w:vAlign w:val="center"/>
          </w:tcPr>
          <w:p w14:paraId="27C84B23">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180" w:type="dxa"/>
            <w:tcBorders>
              <w:tl2br w:val="nil"/>
              <w:tr2bl w:val="nil"/>
            </w:tcBorders>
            <w:shd w:val="clear" w:color="auto" w:fill="auto"/>
            <w:vAlign w:val="center"/>
          </w:tcPr>
          <w:p w14:paraId="7CDB5E56">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5F09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146" w:type="dxa"/>
            <w:tcBorders>
              <w:tl2br w:val="nil"/>
              <w:tr2bl w:val="nil"/>
            </w:tcBorders>
            <w:shd w:val="clear" w:color="auto" w:fill="auto"/>
            <w:vAlign w:val="center"/>
          </w:tcPr>
          <w:p w14:paraId="27C98854">
            <w:pPr>
              <w:keepNext w:val="0"/>
              <w:keepLines w:val="0"/>
              <w:widowControl/>
              <w:suppressLineNumbers w:val="0"/>
              <w:jc w:val="left"/>
            </w:pPr>
            <w:r>
              <w:rPr>
                <w:rFonts w:ascii="宋体" w:hAnsi="宋体" w:eastAsia="宋体" w:cs="宋体"/>
                <w:kern w:val="0"/>
                <w:sz w:val="24"/>
                <w:szCs w:val="24"/>
                <w:lang w:val="en-US" w:eastAsia="zh-CN" w:bidi="ar"/>
              </w:rPr>
              <w:t>B1、业绩</w:t>
            </w:r>
          </w:p>
        </w:tc>
        <w:tc>
          <w:tcPr>
            <w:tcW w:w="990" w:type="dxa"/>
            <w:tcBorders>
              <w:tl2br w:val="nil"/>
              <w:tr2bl w:val="nil"/>
            </w:tcBorders>
            <w:shd w:val="clear" w:color="auto" w:fill="auto"/>
            <w:vAlign w:val="center"/>
          </w:tcPr>
          <w:p w14:paraId="49167826">
            <w:pPr>
              <w:keepNext w:val="0"/>
              <w:keepLines w:val="0"/>
              <w:widowControl/>
              <w:suppressLineNumbers w:val="0"/>
              <w:jc w:val="left"/>
            </w:pPr>
            <w:r>
              <w:rPr>
                <w:rFonts w:ascii="宋体" w:hAnsi="宋体" w:eastAsia="宋体" w:cs="宋体"/>
                <w:kern w:val="0"/>
                <w:sz w:val="24"/>
                <w:szCs w:val="24"/>
                <w:lang w:val="en-US" w:eastAsia="zh-CN" w:bidi="ar"/>
              </w:rPr>
              <w:t>3</w:t>
            </w:r>
          </w:p>
        </w:tc>
        <w:tc>
          <w:tcPr>
            <w:tcW w:w="6180" w:type="dxa"/>
            <w:tcBorders>
              <w:tl2br w:val="nil"/>
              <w:tr2bl w:val="nil"/>
            </w:tcBorders>
            <w:shd w:val="clear" w:color="auto" w:fill="auto"/>
            <w:vAlign w:val="center"/>
          </w:tcPr>
          <w:p w14:paraId="1755D71B">
            <w:pPr>
              <w:keepNext w:val="0"/>
              <w:keepLines w:val="0"/>
              <w:widowControl/>
              <w:suppressLineNumbers w:val="0"/>
              <w:jc w:val="left"/>
            </w:pPr>
            <w:r>
              <w:rPr>
                <w:rFonts w:ascii="宋体" w:hAnsi="宋体" w:eastAsia="宋体" w:cs="宋体"/>
                <w:kern w:val="0"/>
                <w:sz w:val="24"/>
                <w:szCs w:val="24"/>
                <w:lang w:val="en-US" w:eastAsia="zh-CN" w:bidi="ar"/>
              </w:rPr>
              <w:t>根据投标人所提供的从2016年1月1日起至本次投标截止日期(日期以验收报告时间为准)在国内所完成的同类项目业绩情况进行打分，每提供一份得1分，满分3分。【投标人须列表并提供该业绩项目的中标公告（提供相关网站中标公告的下载网页并注明网址）、中标通知书复印件、采购合同文本复印件，以及能够证明该业绩项目已经采购人验收合格的相关证明文件复印件，所有材料缺一不可，否则不得分。原件备查。】</w:t>
            </w:r>
          </w:p>
        </w:tc>
      </w:tr>
      <w:tr w14:paraId="714F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146" w:type="dxa"/>
            <w:tcBorders>
              <w:tl2br w:val="nil"/>
              <w:tr2bl w:val="nil"/>
            </w:tcBorders>
            <w:shd w:val="clear" w:color="auto" w:fill="auto"/>
            <w:vAlign w:val="center"/>
          </w:tcPr>
          <w:p w14:paraId="59333055">
            <w:pPr>
              <w:keepNext w:val="0"/>
              <w:keepLines w:val="0"/>
              <w:widowControl/>
              <w:suppressLineNumbers w:val="0"/>
              <w:jc w:val="left"/>
            </w:pPr>
            <w:r>
              <w:rPr>
                <w:rFonts w:ascii="宋体" w:hAnsi="宋体" w:eastAsia="宋体" w:cs="宋体"/>
                <w:kern w:val="0"/>
                <w:sz w:val="24"/>
                <w:szCs w:val="24"/>
                <w:lang w:val="en-US" w:eastAsia="zh-CN" w:bidi="ar"/>
              </w:rPr>
              <w:t>B2、经营年限</w:t>
            </w:r>
          </w:p>
        </w:tc>
        <w:tc>
          <w:tcPr>
            <w:tcW w:w="990" w:type="dxa"/>
            <w:tcBorders>
              <w:tl2br w:val="nil"/>
              <w:tr2bl w:val="nil"/>
            </w:tcBorders>
            <w:shd w:val="clear" w:color="auto" w:fill="auto"/>
            <w:vAlign w:val="center"/>
          </w:tcPr>
          <w:p w14:paraId="494120E6">
            <w:pPr>
              <w:keepNext w:val="0"/>
              <w:keepLines w:val="0"/>
              <w:widowControl/>
              <w:suppressLineNumbers w:val="0"/>
              <w:jc w:val="left"/>
            </w:pPr>
            <w:r>
              <w:rPr>
                <w:rFonts w:ascii="宋体" w:hAnsi="宋体" w:eastAsia="宋体" w:cs="宋体"/>
                <w:kern w:val="0"/>
                <w:sz w:val="24"/>
                <w:szCs w:val="24"/>
                <w:lang w:val="en-US" w:eastAsia="zh-CN" w:bidi="ar"/>
              </w:rPr>
              <w:t>2</w:t>
            </w:r>
          </w:p>
        </w:tc>
        <w:tc>
          <w:tcPr>
            <w:tcW w:w="6180" w:type="dxa"/>
            <w:tcBorders>
              <w:tl2br w:val="nil"/>
              <w:tr2bl w:val="nil"/>
            </w:tcBorders>
            <w:shd w:val="clear" w:color="auto" w:fill="auto"/>
            <w:vAlign w:val="center"/>
          </w:tcPr>
          <w:p w14:paraId="7C829004">
            <w:pPr>
              <w:keepNext w:val="0"/>
              <w:keepLines w:val="0"/>
              <w:widowControl/>
              <w:suppressLineNumbers w:val="0"/>
              <w:jc w:val="left"/>
            </w:pPr>
            <w:r>
              <w:rPr>
                <w:rFonts w:ascii="宋体" w:hAnsi="宋体" w:eastAsia="宋体" w:cs="宋体"/>
                <w:kern w:val="0"/>
                <w:sz w:val="24"/>
                <w:szCs w:val="24"/>
                <w:lang w:val="en-US" w:eastAsia="zh-CN" w:bidi="ar"/>
              </w:rPr>
              <w:t>根据投标人经营年限(以营业执照为准)进行评分：投标人经营年限大于10年的，每增加1年得1分。（满分2分）注：须提供营业执照复印件，否则不得分。</w:t>
            </w:r>
          </w:p>
        </w:tc>
      </w:tr>
      <w:tr w14:paraId="728F8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46" w:type="dxa"/>
            <w:tcBorders>
              <w:tl2br w:val="nil"/>
              <w:tr2bl w:val="nil"/>
            </w:tcBorders>
            <w:shd w:val="clear" w:color="auto" w:fill="auto"/>
            <w:vAlign w:val="center"/>
          </w:tcPr>
          <w:p w14:paraId="06E5C3A4">
            <w:pPr>
              <w:keepNext w:val="0"/>
              <w:keepLines w:val="0"/>
              <w:widowControl/>
              <w:suppressLineNumbers w:val="0"/>
              <w:jc w:val="left"/>
            </w:pPr>
            <w:r>
              <w:rPr>
                <w:rFonts w:ascii="宋体" w:hAnsi="宋体" w:eastAsia="宋体" w:cs="宋体"/>
                <w:kern w:val="0"/>
                <w:sz w:val="24"/>
                <w:szCs w:val="24"/>
                <w:lang w:val="en-US" w:eastAsia="zh-CN" w:bidi="ar"/>
              </w:rPr>
              <w:t>B3、售后服务</w:t>
            </w:r>
          </w:p>
        </w:tc>
        <w:tc>
          <w:tcPr>
            <w:tcW w:w="990" w:type="dxa"/>
            <w:tcBorders>
              <w:tl2br w:val="nil"/>
              <w:tr2bl w:val="nil"/>
            </w:tcBorders>
            <w:shd w:val="clear" w:color="auto" w:fill="auto"/>
            <w:vAlign w:val="center"/>
          </w:tcPr>
          <w:p w14:paraId="1A4D6252">
            <w:pPr>
              <w:keepNext w:val="0"/>
              <w:keepLines w:val="0"/>
              <w:widowControl/>
              <w:suppressLineNumbers w:val="0"/>
              <w:jc w:val="left"/>
            </w:pPr>
            <w:r>
              <w:rPr>
                <w:rFonts w:ascii="宋体" w:hAnsi="宋体" w:eastAsia="宋体" w:cs="宋体"/>
                <w:kern w:val="0"/>
                <w:sz w:val="24"/>
                <w:szCs w:val="24"/>
                <w:lang w:val="en-US" w:eastAsia="zh-CN" w:bidi="ar"/>
              </w:rPr>
              <w:t>3</w:t>
            </w:r>
          </w:p>
        </w:tc>
        <w:tc>
          <w:tcPr>
            <w:tcW w:w="6180" w:type="dxa"/>
            <w:tcBorders>
              <w:tl2br w:val="nil"/>
              <w:tr2bl w:val="nil"/>
            </w:tcBorders>
            <w:shd w:val="clear" w:color="auto" w:fill="auto"/>
            <w:vAlign w:val="center"/>
          </w:tcPr>
          <w:p w14:paraId="1BCC0FA8">
            <w:pPr>
              <w:keepNext w:val="0"/>
              <w:keepLines w:val="0"/>
              <w:widowControl/>
              <w:suppressLineNumbers w:val="0"/>
              <w:jc w:val="left"/>
            </w:pPr>
            <w:r>
              <w:rPr>
                <w:rFonts w:ascii="宋体" w:hAnsi="宋体" w:eastAsia="宋体" w:cs="宋体"/>
                <w:kern w:val="0"/>
                <w:sz w:val="24"/>
                <w:szCs w:val="24"/>
                <w:lang w:val="en-US" w:eastAsia="zh-CN" w:bidi="ar"/>
              </w:rPr>
              <w:t>根据投标人提供的售后服务承诺、反馈方式，维护响应时间、响应方式等情况进行评分，售后服务承诺优于招标文件，响应时间短，响应方式多样的得3分，售后服务承诺较好，售后服务响应内容一般的的1分；未提供任何售后服务承诺的得0分。</w:t>
            </w:r>
          </w:p>
        </w:tc>
      </w:tr>
      <w:tr w14:paraId="57FE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146" w:type="dxa"/>
            <w:tcBorders>
              <w:tl2br w:val="nil"/>
              <w:tr2bl w:val="nil"/>
            </w:tcBorders>
            <w:shd w:val="clear" w:color="auto" w:fill="auto"/>
            <w:vAlign w:val="center"/>
          </w:tcPr>
          <w:p w14:paraId="365C693D">
            <w:pPr>
              <w:keepNext w:val="0"/>
              <w:keepLines w:val="0"/>
              <w:widowControl/>
              <w:suppressLineNumbers w:val="0"/>
              <w:jc w:val="left"/>
            </w:pPr>
            <w:r>
              <w:rPr>
                <w:rFonts w:ascii="宋体" w:hAnsi="宋体" w:eastAsia="宋体" w:cs="宋体"/>
                <w:kern w:val="0"/>
                <w:sz w:val="24"/>
                <w:szCs w:val="24"/>
                <w:lang w:val="en-US" w:eastAsia="zh-CN" w:bidi="ar"/>
              </w:rPr>
              <w:t>B4-1、综合实力</w:t>
            </w:r>
          </w:p>
        </w:tc>
        <w:tc>
          <w:tcPr>
            <w:tcW w:w="990" w:type="dxa"/>
            <w:tcBorders>
              <w:tl2br w:val="nil"/>
              <w:tr2bl w:val="nil"/>
            </w:tcBorders>
            <w:shd w:val="clear" w:color="auto" w:fill="auto"/>
            <w:vAlign w:val="center"/>
          </w:tcPr>
          <w:p w14:paraId="5166D74F">
            <w:pPr>
              <w:keepNext w:val="0"/>
              <w:keepLines w:val="0"/>
              <w:widowControl/>
              <w:suppressLineNumbers w:val="0"/>
              <w:jc w:val="left"/>
            </w:pPr>
            <w:r>
              <w:rPr>
                <w:rFonts w:ascii="宋体" w:hAnsi="宋体" w:eastAsia="宋体" w:cs="宋体"/>
                <w:kern w:val="0"/>
                <w:sz w:val="24"/>
                <w:szCs w:val="24"/>
                <w:lang w:val="en-US" w:eastAsia="zh-CN" w:bidi="ar"/>
              </w:rPr>
              <w:t>3</w:t>
            </w:r>
          </w:p>
        </w:tc>
        <w:tc>
          <w:tcPr>
            <w:tcW w:w="6180" w:type="dxa"/>
            <w:tcBorders>
              <w:tl2br w:val="nil"/>
              <w:tr2bl w:val="nil"/>
            </w:tcBorders>
            <w:shd w:val="clear" w:color="auto" w:fill="auto"/>
            <w:vAlign w:val="center"/>
          </w:tcPr>
          <w:p w14:paraId="639BE4F1">
            <w:pPr>
              <w:keepNext w:val="0"/>
              <w:keepLines w:val="0"/>
              <w:widowControl/>
              <w:suppressLineNumbers w:val="0"/>
              <w:jc w:val="left"/>
            </w:pPr>
            <w:r>
              <w:rPr>
                <w:rFonts w:ascii="宋体" w:hAnsi="宋体" w:eastAsia="宋体" w:cs="宋体"/>
                <w:kern w:val="0"/>
                <w:sz w:val="24"/>
                <w:szCs w:val="24"/>
                <w:lang w:val="en-US" w:eastAsia="zh-CN" w:bidi="ar"/>
              </w:rPr>
              <w:t>根据投标人具有有效期内的ISO9001质量管理体系认证、ISO14001环境管理体系认证、职业健康安全管理体系认证的，每提供一项得1分，满分3分，未获认证或认证无效的不得分。投标人须同时提供有效证书复印件和全国认证认可信息公共服务平台（http://cx.cnca.cn）的查询结果“有效”的截图或网页打印件，并注明网址。</w:t>
            </w:r>
          </w:p>
        </w:tc>
      </w:tr>
      <w:tr w14:paraId="19D06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46" w:type="dxa"/>
            <w:tcBorders>
              <w:tl2br w:val="nil"/>
              <w:tr2bl w:val="nil"/>
            </w:tcBorders>
            <w:shd w:val="clear" w:color="auto" w:fill="auto"/>
            <w:vAlign w:val="center"/>
          </w:tcPr>
          <w:p w14:paraId="4FEF2035">
            <w:pPr>
              <w:keepNext w:val="0"/>
              <w:keepLines w:val="0"/>
              <w:widowControl/>
              <w:suppressLineNumbers w:val="0"/>
              <w:jc w:val="left"/>
            </w:pPr>
            <w:r>
              <w:rPr>
                <w:rFonts w:ascii="宋体" w:hAnsi="宋体" w:eastAsia="宋体" w:cs="宋体"/>
                <w:kern w:val="0"/>
                <w:sz w:val="24"/>
                <w:szCs w:val="24"/>
                <w:lang w:val="en-US" w:eastAsia="zh-CN" w:bidi="ar"/>
              </w:rPr>
              <w:t>B4-2、综合实力</w:t>
            </w:r>
          </w:p>
        </w:tc>
        <w:tc>
          <w:tcPr>
            <w:tcW w:w="990" w:type="dxa"/>
            <w:tcBorders>
              <w:tl2br w:val="nil"/>
              <w:tr2bl w:val="nil"/>
            </w:tcBorders>
            <w:shd w:val="clear" w:color="auto" w:fill="auto"/>
            <w:vAlign w:val="center"/>
          </w:tcPr>
          <w:p w14:paraId="01401AB4">
            <w:pPr>
              <w:keepNext w:val="0"/>
              <w:keepLines w:val="0"/>
              <w:widowControl/>
              <w:suppressLineNumbers w:val="0"/>
              <w:jc w:val="left"/>
            </w:pPr>
            <w:r>
              <w:rPr>
                <w:rFonts w:ascii="宋体" w:hAnsi="宋体" w:eastAsia="宋体" w:cs="宋体"/>
                <w:kern w:val="0"/>
                <w:sz w:val="24"/>
                <w:szCs w:val="24"/>
                <w:lang w:val="en-US" w:eastAsia="zh-CN" w:bidi="ar"/>
              </w:rPr>
              <w:t>1</w:t>
            </w:r>
          </w:p>
        </w:tc>
        <w:tc>
          <w:tcPr>
            <w:tcW w:w="6180" w:type="dxa"/>
            <w:tcBorders>
              <w:tl2br w:val="nil"/>
              <w:tr2bl w:val="nil"/>
            </w:tcBorders>
            <w:shd w:val="clear" w:color="auto" w:fill="auto"/>
            <w:vAlign w:val="center"/>
          </w:tcPr>
          <w:p w14:paraId="61537FB5">
            <w:pPr>
              <w:keepNext w:val="0"/>
              <w:keepLines w:val="0"/>
              <w:widowControl/>
              <w:suppressLineNumbers w:val="0"/>
              <w:jc w:val="left"/>
            </w:pPr>
            <w:r>
              <w:rPr>
                <w:rFonts w:ascii="宋体" w:hAnsi="宋体" w:eastAsia="宋体" w:cs="宋体"/>
                <w:kern w:val="0"/>
                <w:sz w:val="24"/>
                <w:szCs w:val="24"/>
                <w:lang w:val="en-US" w:eastAsia="zh-CN" w:bidi="ar"/>
              </w:rPr>
              <w:t>投标人获得第三方认证机构颁发的AAA级企业信用等级证书的得1分。（须提供复印件并加盖公章，原件备查）</w:t>
            </w:r>
          </w:p>
        </w:tc>
      </w:tr>
      <w:tr w14:paraId="275B4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146" w:type="dxa"/>
            <w:tcBorders>
              <w:tl2br w:val="nil"/>
              <w:tr2bl w:val="nil"/>
            </w:tcBorders>
            <w:shd w:val="clear" w:color="auto" w:fill="auto"/>
            <w:vAlign w:val="center"/>
          </w:tcPr>
          <w:p w14:paraId="30C1B63C">
            <w:pPr>
              <w:keepNext w:val="0"/>
              <w:keepLines w:val="0"/>
              <w:widowControl/>
              <w:suppressLineNumbers w:val="0"/>
              <w:jc w:val="left"/>
            </w:pPr>
            <w:r>
              <w:rPr>
                <w:rFonts w:ascii="宋体" w:hAnsi="宋体" w:eastAsia="宋体" w:cs="宋体"/>
                <w:kern w:val="0"/>
                <w:sz w:val="24"/>
                <w:szCs w:val="24"/>
                <w:lang w:val="en-US" w:eastAsia="zh-CN" w:bidi="ar"/>
              </w:rPr>
              <w:t>B4-3、综合实力</w:t>
            </w:r>
          </w:p>
        </w:tc>
        <w:tc>
          <w:tcPr>
            <w:tcW w:w="990" w:type="dxa"/>
            <w:tcBorders>
              <w:tl2br w:val="nil"/>
              <w:tr2bl w:val="nil"/>
            </w:tcBorders>
            <w:shd w:val="clear" w:color="auto" w:fill="auto"/>
            <w:vAlign w:val="center"/>
          </w:tcPr>
          <w:p w14:paraId="646DB492">
            <w:pPr>
              <w:keepNext w:val="0"/>
              <w:keepLines w:val="0"/>
              <w:widowControl/>
              <w:suppressLineNumbers w:val="0"/>
              <w:jc w:val="left"/>
            </w:pPr>
            <w:r>
              <w:rPr>
                <w:rFonts w:ascii="宋体" w:hAnsi="宋体" w:eastAsia="宋体" w:cs="宋体"/>
                <w:kern w:val="0"/>
                <w:sz w:val="24"/>
                <w:szCs w:val="24"/>
                <w:lang w:val="en-US" w:eastAsia="zh-CN" w:bidi="ar"/>
              </w:rPr>
              <w:t>1</w:t>
            </w:r>
          </w:p>
        </w:tc>
        <w:tc>
          <w:tcPr>
            <w:tcW w:w="6180" w:type="dxa"/>
            <w:tcBorders>
              <w:tl2br w:val="nil"/>
              <w:tr2bl w:val="nil"/>
            </w:tcBorders>
            <w:shd w:val="clear" w:color="auto" w:fill="auto"/>
            <w:vAlign w:val="center"/>
          </w:tcPr>
          <w:p w14:paraId="3DA1651D">
            <w:pPr>
              <w:keepNext w:val="0"/>
              <w:keepLines w:val="0"/>
              <w:widowControl/>
              <w:suppressLineNumbers w:val="0"/>
              <w:jc w:val="left"/>
            </w:pPr>
            <w:r>
              <w:rPr>
                <w:rFonts w:ascii="宋体" w:hAnsi="宋体" w:eastAsia="宋体" w:cs="宋体"/>
                <w:kern w:val="0"/>
                <w:sz w:val="24"/>
                <w:szCs w:val="24"/>
                <w:lang w:val="en-US" w:eastAsia="zh-CN" w:bidi="ar"/>
              </w:rPr>
              <w:t>投标人获得省级或以上政府部门、工商部门或者第三方认证机构颁发的 “重合同守信用”证书的得1分，（须提供复印件并加盖公章，原件备查）。</w:t>
            </w:r>
          </w:p>
        </w:tc>
      </w:tr>
      <w:tr w14:paraId="4DCBC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146" w:type="dxa"/>
            <w:tcBorders>
              <w:tl2br w:val="nil"/>
              <w:tr2bl w:val="nil"/>
            </w:tcBorders>
            <w:shd w:val="clear" w:color="auto" w:fill="auto"/>
            <w:vAlign w:val="center"/>
          </w:tcPr>
          <w:p w14:paraId="79E3FD0A">
            <w:pPr>
              <w:keepNext w:val="0"/>
              <w:keepLines w:val="0"/>
              <w:widowControl/>
              <w:suppressLineNumbers w:val="0"/>
              <w:jc w:val="left"/>
            </w:pPr>
            <w:r>
              <w:rPr>
                <w:rFonts w:ascii="宋体" w:hAnsi="宋体" w:eastAsia="宋体" w:cs="宋体"/>
                <w:kern w:val="0"/>
                <w:sz w:val="24"/>
                <w:szCs w:val="24"/>
                <w:lang w:val="en-US" w:eastAsia="zh-CN" w:bidi="ar"/>
              </w:rPr>
              <w:t>B4-4、综合实力</w:t>
            </w:r>
          </w:p>
        </w:tc>
        <w:tc>
          <w:tcPr>
            <w:tcW w:w="990" w:type="dxa"/>
            <w:tcBorders>
              <w:tl2br w:val="nil"/>
              <w:tr2bl w:val="nil"/>
            </w:tcBorders>
            <w:shd w:val="clear" w:color="auto" w:fill="auto"/>
            <w:vAlign w:val="center"/>
          </w:tcPr>
          <w:p w14:paraId="216E1A05">
            <w:pPr>
              <w:keepNext w:val="0"/>
              <w:keepLines w:val="0"/>
              <w:widowControl/>
              <w:suppressLineNumbers w:val="0"/>
              <w:jc w:val="left"/>
            </w:pPr>
            <w:r>
              <w:rPr>
                <w:rFonts w:ascii="宋体" w:hAnsi="宋体" w:eastAsia="宋体" w:cs="宋体"/>
                <w:kern w:val="0"/>
                <w:sz w:val="24"/>
                <w:szCs w:val="24"/>
                <w:lang w:val="en-US" w:eastAsia="zh-CN" w:bidi="ar"/>
              </w:rPr>
              <w:t>2</w:t>
            </w:r>
          </w:p>
        </w:tc>
        <w:tc>
          <w:tcPr>
            <w:tcW w:w="6180" w:type="dxa"/>
            <w:tcBorders>
              <w:tl2br w:val="nil"/>
              <w:tr2bl w:val="nil"/>
            </w:tcBorders>
            <w:shd w:val="clear" w:color="auto" w:fill="auto"/>
            <w:vAlign w:val="center"/>
          </w:tcPr>
          <w:p w14:paraId="4C5D6EE8">
            <w:pPr>
              <w:keepNext w:val="0"/>
              <w:keepLines w:val="0"/>
              <w:widowControl/>
              <w:suppressLineNumbers w:val="0"/>
              <w:jc w:val="left"/>
            </w:pPr>
            <w:r>
              <w:rPr>
                <w:rFonts w:ascii="宋体" w:hAnsi="宋体" w:eastAsia="宋体" w:cs="宋体"/>
                <w:kern w:val="0"/>
                <w:sz w:val="24"/>
                <w:szCs w:val="24"/>
                <w:lang w:val="en-US" w:eastAsia="zh-CN" w:bidi="ar"/>
              </w:rPr>
              <w:t>投标人被收录为民政部救灾司、国家减灾中心编制的《自然灾害应急救助物资生产商参考名录（2019版）》的得2分。注：须提供相关证明材料，否则不得分。（满分2分）</w:t>
            </w:r>
          </w:p>
        </w:tc>
      </w:tr>
    </w:tbl>
    <w:p w14:paraId="257A4AC8">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6A39130F">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58F2EE65">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287D600E">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530C108">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0EFC46C">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66D32F37">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8F7EABD">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199C0BB">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④加分项（</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w:t>
      </w:r>
    </w:p>
    <w:p w14:paraId="39FA3092">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a.优先类节能产品、环境标志产品：</w:t>
      </w:r>
    </w:p>
    <w:p w14:paraId="0A0913A8">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20%</w:t>
      </w:r>
      <w:r>
        <w:rPr>
          <w:rFonts w:hint="eastAsia" w:ascii="宋体" w:hAnsi="宋体" w:eastAsia="宋体" w:cs="宋体"/>
          <w:sz w:val="24"/>
          <w:szCs w:val="24"/>
        </w:rPr>
        <w:t>（含</w:t>
      </w:r>
      <w:r>
        <w:rPr>
          <w:rFonts w:hint="default" w:ascii="Calibri" w:hAnsi="Calibri" w:eastAsia="宋体" w:cs="Calibri"/>
          <w:sz w:val="24"/>
          <w:szCs w:val="24"/>
        </w:rPr>
        <w:t>20%</w:t>
      </w:r>
      <w:r>
        <w:rPr>
          <w:rFonts w:hint="eastAsia" w:ascii="宋体" w:hAnsi="宋体" w:eastAsia="宋体" w:cs="宋体"/>
          <w:sz w:val="24"/>
          <w:szCs w:val="24"/>
        </w:rPr>
        <w:t>）以下，将分别给予节能、环境标志产品价格项（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4%</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20%-50%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6%</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50%</w:t>
      </w:r>
      <w:r>
        <w:rPr>
          <w:rFonts w:hint="eastAsia" w:ascii="宋体" w:hAnsi="宋体" w:eastAsia="宋体" w:cs="宋体"/>
          <w:sz w:val="24"/>
          <w:szCs w:val="24"/>
        </w:rPr>
        <w:t>以上的，将分别给予节能、环境标志产品价格项（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8%</w:t>
      </w:r>
      <w:r>
        <w:rPr>
          <w:rFonts w:hint="eastAsia" w:ascii="宋体" w:hAnsi="宋体" w:eastAsia="宋体" w:cs="宋体"/>
          <w:sz w:val="24"/>
          <w:szCs w:val="24"/>
        </w:rPr>
        <w:t>的加分。</w:t>
      </w:r>
    </w:p>
    <w:p w14:paraId="5DABEC2D">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a2若节能、环境标志产品仅是构成投标产品的部件、组件或零件，则该投标产品不享受鼓励优惠政策。同一品目中各认证证书不重复计算加分。强制类节能产品不享受加分。</w:t>
      </w:r>
    </w:p>
    <w:tbl>
      <w:tblPr>
        <w:tblStyle w:val="6"/>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11"/>
        <w:gridCol w:w="1125"/>
        <w:gridCol w:w="6164"/>
      </w:tblGrid>
      <w:tr w14:paraId="365E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857" w:hRule="atLeast"/>
          <w:tblHeader/>
        </w:trPr>
        <w:tc>
          <w:tcPr>
            <w:tcW w:w="1011" w:type="dxa"/>
            <w:tcBorders>
              <w:tl2br w:val="nil"/>
              <w:tr2bl w:val="nil"/>
            </w:tcBorders>
            <w:shd w:val="clear" w:color="auto" w:fill="auto"/>
            <w:vAlign w:val="center"/>
          </w:tcPr>
          <w:p w14:paraId="42A21D12">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125" w:type="dxa"/>
            <w:tcBorders>
              <w:tl2br w:val="nil"/>
              <w:tr2bl w:val="nil"/>
            </w:tcBorders>
            <w:shd w:val="clear" w:color="auto" w:fill="auto"/>
            <w:vAlign w:val="center"/>
          </w:tcPr>
          <w:p w14:paraId="34875816">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164" w:type="dxa"/>
            <w:tcBorders>
              <w:tl2br w:val="nil"/>
              <w:tr2bl w:val="nil"/>
            </w:tcBorders>
            <w:shd w:val="clear" w:color="auto" w:fill="auto"/>
            <w:vAlign w:val="center"/>
          </w:tcPr>
          <w:p w14:paraId="6145ABA9">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5EB3D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200" w:hRule="atLeast"/>
        </w:trPr>
        <w:tc>
          <w:tcPr>
            <w:tcW w:w="1011" w:type="dxa"/>
            <w:tcBorders>
              <w:tl2br w:val="nil"/>
              <w:tr2bl w:val="nil"/>
            </w:tcBorders>
            <w:shd w:val="clear" w:color="auto" w:fill="auto"/>
            <w:vAlign w:val="center"/>
          </w:tcPr>
          <w:p w14:paraId="23F8C6D2">
            <w:pPr>
              <w:keepNext w:val="0"/>
              <w:keepLines w:val="0"/>
              <w:widowControl/>
              <w:suppressLineNumbers w:val="0"/>
              <w:jc w:val="left"/>
            </w:pPr>
            <w:r>
              <w:rPr>
                <w:rFonts w:ascii="宋体" w:hAnsi="宋体" w:eastAsia="宋体" w:cs="宋体"/>
                <w:kern w:val="0"/>
                <w:sz w:val="24"/>
                <w:szCs w:val="24"/>
                <w:lang w:val="en-US" w:eastAsia="zh-CN" w:bidi="ar"/>
              </w:rPr>
              <w:t>节能、减排、环境标志产品部分</w:t>
            </w:r>
          </w:p>
        </w:tc>
        <w:tc>
          <w:tcPr>
            <w:tcW w:w="1125" w:type="dxa"/>
            <w:tcBorders>
              <w:tl2br w:val="nil"/>
              <w:tr2bl w:val="nil"/>
            </w:tcBorders>
            <w:shd w:val="clear" w:color="auto" w:fill="auto"/>
            <w:vAlign w:val="center"/>
          </w:tcPr>
          <w:p w14:paraId="21C075B2">
            <w:pPr>
              <w:keepNext w:val="0"/>
              <w:keepLines w:val="0"/>
              <w:widowControl/>
              <w:suppressLineNumbers w:val="0"/>
              <w:jc w:val="center"/>
            </w:pPr>
            <w:r>
              <w:rPr>
                <w:rFonts w:ascii="宋体" w:hAnsi="宋体" w:eastAsia="宋体" w:cs="宋体"/>
                <w:kern w:val="0"/>
                <w:sz w:val="24"/>
                <w:szCs w:val="24"/>
                <w:lang w:val="en-US" w:eastAsia="zh-CN" w:bidi="ar"/>
              </w:rPr>
              <w:t>6.8</w:t>
            </w:r>
          </w:p>
        </w:tc>
        <w:tc>
          <w:tcPr>
            <w:tcW w:w="6164" w:type="dxa"/>
            <w:tcBorders>
              <w:tl2br w:val="nil"/>
              <w:tr2bl w:val="nil"/>
            </w:tcBorders>
            <w:shd w:val="clear" w:color="auto" w:fill="auto"/>
            <w:vAlign w:val="center"/>
          </w:tcPr>
          <w:p w14:paraId="066E66DA">
            <w:pPr>
              <w:keepNext w:val="0"/>
              <w:keepLines w:val="0"/>
              <w:widowControl/>
              <w:suppressLineNumbers w:val="0"/>
              <w:jc w:val="left"/>
            </w:pPr>
            <w:r>
              <w:rPr>
                <w:rFonts w:ascii="宋体" w:hAnsi="宋体" w:eastAsia="宋体" w:cs="宋体"/>
                <w:kern w:val="0"/>
                <w:sz w:val="24"/>
                <w:szCs w:val="24"/>
                <w:lang w:val="en-US" w:eastAsia="zh-CN" w:bidi="ar"/>
              </w:rPr>
              <w:t>（1）根据《国务院办公厅关于建立政府强制采购节能产品制度的通知》(国办发[2007]51号)和财政部、发展改革委发布的《节能产品政府采购实施意见》(财库[2004]185号)以及《财政部、国家发展改革委关于调整节能产品政府采购清单的通知》财库〔2017〕129号的规定，节能清单中的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为政府强制采购的节能产品(具体品目以“★”标注)，本次采购货物中属政府强制采购节能产品的，投标人所投产品必须是财政部、国家发展改革委公示的《节能产品政府采购清单》内产品，并提供产品的证明资料复印件加盖投标人公章，否则投标无效。 (2)节能(非强制类产品)、减排、环境标志产品评审优惠内容及幅度如下： ①、若同一合同包内的节能(非强制类产品)、减排、环境标志产品报价总金额低于本合同包报价总金额20%(含20%)以下的，将分别给予节能、减排、环境标志产品价格评标项和技术评标项标准总分值4％的加分； ②、若同一合同包内节能(非强制类产品)、减排、环境标志产品报价总金额占本合同包报价总金额20%-50%(含50%)的，将分别给予节能、减排、环境标志产品在价格评标项和技术评标项标准总分值6％的加分； ③、若同一合同包内节能(非强制类产品)、减排、环境标志产品报价总金额占本合同包报价总金额50%以上的，将分别给予节能、减排、环境标志产品在价格评标项和技术评标项标准总分值8％的加分。 注：本次政府采购活动已经开展但尚未进入评审环节的，执行本期和下期节能清单。对于同时列入财政部、环境保护部公示的《环境标志产品政府采购清单》和财政部、国家发展改革委公示的《节能产品政府采购清单》的产品，应当优先于只获得其中一项认证的产品。 投标人在投标时必须对属于节能、减排、环境标志产品单独在节能（非强制类）、环境标志产品统计表中填写，并提供产品的证明资料复印件附在报价部分(电子证明资料应上传在对应评分模块)且加盖投标人公章。未单独分项报价或未按规定提供产品的证明资料的不给予加分。投标产品属于节能、减排、环境标志清单内产品的，可享受相关的鼓励优惠政策；若节能、减排、环境标志清单内的产品仅是构成投标产品的部件、组件或零件的，则该投标产品不享受鼓励优惠政策。评标委员会审查此项响应性只根据投标文件本身的内容，而不寻求其他的外部证据。</w:t>
            </w:r>
          </w:p>
        </w:tc>
      </w:tr>
    </w:tbl>
    <w:p w14:paraId="2C95877E">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（4）中标候选人排列规则顺序如下：</w:t>
      </w:r>
    </w:p>
    <w:p w14:paraId="376CF8A2">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a.按照评标总得分（</w:t>
      </w:r>
      <w:r>
        <w:rPr>
          <w:rFonts w:hint="default" w:ascii="Calibri" w:hAnsi="Calibri" w:eastAsia="宋体" w:cs="Calibri"/>
          <w:sz w:val="24"/>
          <w:szCs w:val="24"/>
        </w:rPr>
        <w:t>FA</w:t>
      </w:r>
      <w:r>
        <w:rPr>
          <w:rFonts w:hint="eastAsia" w:ascii="宋体" w:hAnsi="宋体" w:eastAsia="宋体" w:cs="宋体"/>
          <w:sz w:val="24"/>
          <w:szCs w:val="24"/>
        </w:rPr>
        <w:t>）由高到低顺序排列。</w:t>
      </w:r>
    </w:p>
    <w:p w14:paraId="62F2919D">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b.评标总得分（</w:t>
      </w:r>
      <w:r>
        <w:rPr>
          <w:rFonts w:hint="default" w:ascii="Calibri" w:hAnsi="Calibri" w:eastAsia="宋体" w:cs="Calibri"/>
          <w:sz w:val="24"/>
          <w:szCs w:val="24"/>
        </w:rPr>
        <w:t>FA</w:t>
      </w:r>
      <w:r>
        <w:rPr>
          <w:rFonts w:hint="eastAsia" w:ascii="宋体" w:hAnsi="宋体" w:eastAsia="宋体" w:cs="宋体"/>
          <w:sz w:val="24"/>
          <w:szCs w:val="24"/>
        </w:rPr>
        <w:t>）相同的，按照评标价（即价格扣除后的投标报价）由低到高顺序排列。</w:t>
      </w:r>
    </w:p>
    <w:p w14:paraId="6FD596EA">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c.评标总得分（</w:t>
      </w:r>
      <w:r>
        <w:rPr>
          <w:rFonts w:hint="default" w:ascii="Calibri" w:hAnsi="Calibri" w:eastAsia="宋体" w:cs="Calibri"/>
          <w:sz w:val="24"/>
          <w:szCs w:val="24"/>
        </w:rPr>
        <w:t>FA</w:t>
      </w:r>
      <w:r>
        <w:rPr>
          <w:rFonts w:hint="eastAsia" w:ascii="宋体" w:hAnsi="宋体" w:eastAsia="宋体" w:cs="宋体"/>
          <w:sz w:val="24"/>
          <w:szCs w:val="24"/>
        </w:rPr>
        <w:t>）且评标价（即价格扣除后的投标报价）相同的并列。</w:t>
      </w:r>
    </w:p>
    <w:p w14:paraId="79D0B707">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8、其他规定</w:t>
      </w:r>
    </w:p>
    <w:p w14:paraId="5F261726">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8.1评标应全程保密且不得透露给任一投标人或与评标工作无关的人员。</w:t>
      </w:r>
    </w:p>
    <w:p w14:paraId="1A2B7D1D">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8.2评标将进行全程实时录音录像，录音录像资料随采购文件一并存档。</w:t>
      </w:r>
    </w:p>
    <w:p w14:paraId="74FF09E6">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8.3若投标人有任何试图干扰具体评标事务，影响评标委员会独立履行职责的行为，其投标无效且不予退还投标保证金。情节严重的，由财政部门列入不良行为记录。</w:t>
      </w:r>
    </w:p>
    <w:p w14:paraId="259DEC2E">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8.4其他：</w:t>
      </w:r>
      <w:r>
        <w:rPr>
          <w:spacing w:val="0"/>
          <w:sz w:val="24"/>
          <w:szCs w:val="24"/>
        </w:rPr>
        <w:t>无</w:t>
      </w:r>
    </w:p>
    <w:p w14:paraId="188E9668">
      <w:pPr>
        <w:pStyle w:val="5"/>
        <w:keepNext w:val="0"/>
        <w:keepLines w:val="0"/>
        <w:widowControl/>
        <w:suppressLineNumbers w:val="0"/>
        <w:spacing w:before="75" w:beforeAutospacing="0" w:after="75" w:afterAutospacing="0"/>
        <w:ind w:left="0" w:right="0" w:firstLine="0"/>
        <w:jc w:val="center"/>
      </w:pPr>
      <w:r>
        <w:rPr>
          <w:spacing w:val="0"/>
          <w:sz w:val="24"/>
          <w:szCs w:val="24"/>
        </w:rPr>
        <w:t> </w:t>
      </w:r>
    </w:p>
    <w:p w14:paraId="4CDECB64">
      <w:pPr>
        <w:pStyle w:val="5"/>
        <w:keepNext w:val="0"/>
        <w:keepLines w:val="0"/>
        <w:widowControl/>
        <w:suppressLineNumbers w:val="0"/>
        <w:spacing w:before="75" w:beforeAutospacing="0" w:after="75" w:afterAutospacing="0"/>
        <w:ind w:left="0" w:right="0" w:firstLine="0"/>
        <w:jc w:val="center"/>
      </w:pPr>
      <w:r>
        <w:rPr>
          <w:rFonts w:hint="eastAsia" w:ascii="宋体" w:hAnsi="宋体" w:eastAsia="宋体" w:cs="宋体"/>
          <w:spacing w:val="0"/>
          <w:sz w:val="24"/>
          <w:szCs w:val="24"/>
        </w:rPr>
        <w:t> </w:t>
      </w:r>
    </w:p>
    <w:p w14:paraId="0041C5F4">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40900B07">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7DD335E6">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0D2510F1">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492DA970">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55818E20">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31"/>
          <w:szCs w:val="31"/>
        </w:rPr>
        <w:t>第五章</w:t>
      </w:r>
      <w:r>
        <w:rPr>
          <w:rStyle w:val="8"/>
          <w:b/>
          <w:spacing w:val="0"/>
          <w:sz w:val="31"/>
          <w:szCs w:val="31"/>
        </w:rPr>
        <w:t>   </w:t>
      </w:r>
      <w:r>
        <w:rPr>
          <w:rStyle w:val="8"/>
          <w:rFonts w:hint="eastAsia" w:ascii="宋体" w:hAnsi="宋体" w:eastAsia="宋体" w:cs="宋体"/>
          <w:b/>
          <w:spacing w:val="0"/>
          <w:sz w:val="31"/>
          <w:szCs w:val="31"/>
        </w:rPr>
        <w:t>招标内容及要求</w:t>
      </w:r>
    </w:p>
    <w:p w14:paraId="634704CC">
      <w:pPr>
        <w:pStyle w:val="5"/>
        <w:keepNext w:val="0"/>
        <w:keepLines w:val="0"/>
        <w:widowControl/>
        <w:suppressLineNumbers w:val="0"/>
        <w:spacing w:before="75" w:beforeAutospacing="0" w:after="75" w:afterAutospacing="0"/>
        <w:ind w:left="0" w:right="0" w:firstLine="0"/>
      </w:pPr>
      <w:r>
        <w:rPr>
          <w:spacing w:val="0"/>
          <w:sz w:val="24"/>
          <w:szCs w:val="24"/>
        </w:rPr>
        <w:t>一、项目概况（采购标的）</w:t>
      </w:r>
    </w:p>
    <w:p w14:paraId="20E16BE5">
      <w:pPr>
        <w:pStyle w:val="5"/>
        <w:keepNext w:val="0"/>
        <w:keepLines w:val="0"/>
        <w:widowControl/>
        <w:suppressLineNumbers w:val="0"/>
        <w:spacing w:before="0" w:beforeAutospacing="0" w:after="150" w:afterAutospacing="0"/>
        <w:ind w:left="0" w:right="0"/>
      </w:pPr>
      <w:r>
        <w:rPr>
          <w:rFonts w:hint="eastAsia" w:ascii="宋体" w:hAnsi="宋体" w:eastAsia="宋体" w:cs="宋体"/>
          <w:spacing w:val="0"/>
          <w:sz w:val="24"/>
          <w:szCs w:val="24"/>
        </w:rPr>
        <w:t>    本次招标采购的产品主要用于福建省粮食和物资储备局使用。投标人提供的所有产品必须通过合法渠道获得，具有在中国境内的合法使用权和用户保护权且为全新原装品 牌货物。产品技术参数必须符合国家及行业相关标准。</w:t>
      </w:r>
    </w:p>
    <w:p w14:paraId="37C2DE3B">
      <w:pPr>
        <w:pStyle w:val="5"/>
        <w:keepNext w:val="0"/>
        <w:keepLines w:val="0"/>
        <w:widowControl/>
        <w:suppressLineNumbers w:val="0"/>
        <w:spacing w:before="0" w:beforeAutospacing="0" w:after="150" w:afterAutospacing="0"/>
        <w:ind w:left="0" w:right="0"/>
      </w:pPr>
    </w:p>
    <w:p w14:paraId="31D9AA9D">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二、技术和服务要求</w:t>
      </w:r>
      <w:r>
        <w:rPr>
          <w:rStyle w:val="8"/>
          <w:rFonts w:hint="eastAsia" w:ascii="宋体" w:hAnsi="宋体" w:eastAsia="宋体" w:cs="宋体"/>
          <w:b/>
          <w:spacing w:val="0"/>
          <w:sz w:val="24"/>
          <w:szCs w:val="24"/>
        </w:rPr>
        <w:t>（以“★”标示的内容为不允许负偏离的实质性要求）</w:t>
      </w:r>
    </w:p>
    <w:p w14:paraId="4CFD772D">
      <w:pPr>
        <w:pStyle w:val="5"/>
        <w:keepNext w:val="0"/>
        <w:keepLines w:val="0"/>
        <w:widowControl/>
        <w:suppressLineNumbers w:val="0"/>
        <w:spacing w:before="0" w:beforeAutospacing="0" w:after="150" w:afterAutospacing="0"/>
        <w:ind w:left="0" w:right="0"/>
      </w:pPr>
      <w:r>
        <w:rPr>
          <w:rFonts w:ascii="黑体" w:hAnsi="宋体" w:eastAsia="黑体" w:cs="黑体"/>
          <w:sz w:val="28"/>
          <w:szCs w:val="28"/>
          <w:shd w:val="clear" w:fill="FFFFFF"/>
        </w:rPr>
        <w:t>合同包</w:t>
      </w:r>
      <w:r>
        <w:rPr>
          <w:rFonts w:hint="eastAsia" w:ascii="黑体" w:hAnsi="宋体" w:eastAsia="黑体" w:cs="黑体"/>
          <w:sz w:val="28"/>
          <w:szCs w:val="28"/>
          <w:shd w:val="clear" w:fill="FFFFFF"/>
        </w:rPr>
        <w:t>1：棉大衣</w:t>
      </w:r>
    </w:p>
    <w:p w14:paraId="4CE4B09E">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1、基本参数：</w:t>
      </w:r>
    </w:p>
    <w:p w14:paraId="30AAD856">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1.1尺寸（cm）：</w:t>
      </w:r>
    </w:p>
    <w:tbl>
      <w:tblPr>
        <w:tblStyle w:val="6"/>
        <w:tblW w:w="86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575"/>
        <w:gridCol w:w="2040"/>
        <w:gridCol w:w="1125"/>
        <w:gridCol w:w="1080"/>
        <w:gridCol w:w="1170"/>
        <w:gridCol w:w="1695"/>
      </w:tblGrid>
      <w:tr w14:paraId="66088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575" w:type="dxa"/>
            <w:tcBorders>
              <w:tl2br w:val="nil"/>
              <w:tr2bl w:val="nil"/>
            </w:tcBorders>
            <w:shd w:val="clear" w:color="auto" w:fill="auto"/>
            <w:tcMar>
              <w:top w:w="0" w:type="dxa"/>
              <w:left w:w="90" w:type="dxa"/>
              <w:bottom w:w="0" w:type="dxa"/>
              <w:right w:w="90" w:type="dxa"/>
            </w:tcMar>
            <w:vAlign w:val="center"/>
          </w:tcPr>
          <w:p w14:paraId="34E8F03C">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序号</w:t>
            </w:r>
          </w:p>
        </w:tc>
        <w:tc>
          <w:tcPr>
            <w:tcW w:w="2040" w:type="dxa"/>
            <w:tcBorders>
              <w:tl2br w:val="nil"/>
              <w:tr2bl w:val="nil"/>
            </w:tcBorders>
            <w:shd w:val="clear" w:color="auto" w:fill="auto"/>
            <w:tcMar>
              <w:top w:w="0" w:type="dxa"/>
              <w:left w:w="90" w:type="dxa"/>
              <w:bottom w:w="0" w:type="dxa"/>
              <w:right w:w="90" w:type="dxa"/>
            </w:tcMar>
            <w:vAlign w:val="center"/>
          </w:tcPr>
          <w:p w14:paraId="207FCF79">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部位名 称</w:t>
            </w:r>
          </w:p>
        </w:tc>
        <w:tc>
          <w:tcPr>
            <w:tcW w:w="1125" w:type="dxa"/>
            <w:tcBorders>
              <w:tl2br w:val="nil"/>
              <w:tr2bl w:val="nil"/>
            </w:tcBorders>
            <w:shd w:val="clear" w:color="auto" w:fill="auto"/>
            <w:tcMar>
              <w:top w:w="0" w:type="dxa"/>
              <w:left w:w="90" w:type="dxa"/>
              <w:bottom w:w="0" w:type="dxa"/>
              <w:right w:w="90" w:type="dxa"/>
            </w:tcMar>
            <w:vAlign w:val="center"/>
          </w:tcPr>
          <w:p w14:paraId="7D27A082">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小号</w:t>
            </w:r>
          </w:p>
        </w:tc>
        <w:tc>
          <w:tcPr>
            <w:tcW w:w="1080" w:type="dxa"/>
            <w:tcBorders>
              <w:tl2br w:val="nil"/>
              <w:tr2bl w:val="nil"/>
            </w:tcBorders>
            <w:shd w:val="clear" w:color="auto" w:fill="auto"/>
            <w:tcMar>
              <w:top w:w="0" w:type="dxa"/>
              <w:left w:w="90" w:type="dxa"/>
              <w:bottom w:w="0" w:type="dxa"/>
              <w:right w:w="90" w:type="dxa"/>
            </w:tcMar>
            <w:vAlign w:val="center"/>
          </w:tcPr>
          <w:p w14:paraId="3F620583">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中号</w:t>
            </w:r>
          </w:p>
        </w:tc>
        <w:tc>
          <w:tcPr>
            <w:tcW w:w="1170" w:type="dxa"/>
            <w:tcBorders>
              <w:tl2br w:val="nil"/>
              <w:tr2bl w:val="nil"/>
            </w:tcBorders>
            <w:shd w:val="clear" w:color="auto" w:fill="auto"/>
            <w:tcMar>
              <w:top w:w="0" w:type="dxa"/>
              <w:left w:w="90" w:type="dxa"/>
              <w:bottom w:w="0" w:type="dxa"/>
              <w:right w:w="90" w:type="dxa"/>
            </w:tcMar>
            <w:vAlign w:val="center"/>
          </w:tcPr>
          <w:p w14:paraId="082F7F86">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大号</w:t>
            </w:r>
          </w:p>
        </w:tc>
        <w:tc>
          <w:tcPr>
            <w:tcW w:w="1695" w:type="dxa"/>
            <w:tcBorders>
              <w:tl2br w:val="nil"/>
              <w:tr2bl w:val="nil"/>
            </w:tcBorders>
            <w:shd w:val="clear" w:color="auto" w:fill="auto"/>
            <w:tcMar>
              <w:top w:w="0" w:type="dxa"/>
              <w:left w:w="90" w:type="dxa"/>
              <w:bottom w:w="0" w:type="dxa"/>
              <w:right w:w="90" w:type="dxa"/>
            </w:tcMar>
            <w:vAlign w:val="center"/>
          </w:tcPr>
          <w:p w14:paraId="39253DA4">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允许偏差</w:t>
            </w:r>
          </w:p>
        </w:tc>
      </w:tr>
      <w:tr w14:paraId="67203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575" w:type="dxa"/>
            <w:tcBorders>
              <w:tl2br w:val="nil"/>
              <w:tr2bl w:val="nil"/>
            </w:tcBorders>
            <w:shd w:val="clear" w:color="auto" w:fill="auto"/>
            <w:tcMar>
              <w:top w:w="0" w:type="dxa"/>
              <w:left w:w="90" w:type="dxa"/>
              <w:bottom w:w="0" w:type="dxa"/>
              <w:right w:w="90" w:type="dxa"/>
            </w:tcMar>
            <w:vAlign w:val="center"/>
          </w:tcPr>
          <w:p w14:paraId="09ACFFBF">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1</w:t>
            </w:r>
          </w:p>
        </w:tc>
        <w:tc>
          <w:tcPr>
            <w:tcW w:w="2040" w:type="dxa"/>
            <w:tcBorders>
              <w:tl2br w:val="nil"/>
              <w:tr2bl w:val="nil"/>
            </w:tcBorders>
            <w:shd w:val="clear" w:color="auto" w:fill="auto"/>
            <w:tcMar>
              <w:top w:w="0" w:type="dxa"/>
              <w:left w:w="90" w:type="dxa"/>
              <w:bottom w:w="0" w:type="dxa"/>
              <w:right w:w="90" w:type="dxa"/>
            </w:tcMar>
            <w:vAlign w:val="center"/>
          </w:tcPr>
          <w:p w14:paraId="5744D2A0">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前身长</w:t>
            </w:r>
          </w:p>
        </w:tc>
        <w:tc>
          <w:tcPr>
            <w:tcW w:w="1125" w:type="dxa"/>
            <w:tcBorders>
              <w:tl2br w:val="nil"/>
              <w:tr2bl w:val="nil"/>
            </w:tcBorders>
            <w:shd w:val="clear" w:color="auto" w:fill="auto"/>
            <w:tcMar>
              <w:top w:w="0" w:type="dxa"/>
              <w:left w:w="90" w:type="dxa"/>
              <w:bottom w:w="0" w:type="dxa"/>
              <w:right w:w="90" w:type="dxa"/>
            </w:tcMar>
            <w:vAlign w:val="center"/>
          </w:tcPr>
          <w:p w14:paraId="500A8346">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81</w:t>
            </w:r>
          </w:p>
        </w:tc>
        <w:tc>
          <w:tcPr>
            <w:tcW w:w="1080" w:type="dxa"/>
            <w:tcBorders>
              <w:tl2br w:val="nil"/>
              <w:tr2bl w:val="nil"/>
            </w:tcBorders>
            <w:shd w:val="clear" w:color="auto" w:fill="auto"/>
            <w:tcMar>
              <w:top w:w="0" w:type="dxa"/>
              <w:left w:w="90" w:type="dxa"/>
              <w:bottom w:w="0" w:type="dxa"/>
              <w:right w:w="90" w:type="dxa"/>
            </w:tcMar>
            <w:vAlign w:val="center"/>
          </w:tcPr>
          <w:p w14:paraId="4315EF89">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86</w:t>
            </w:r>
          </w:p>
        </w:tc>
        <w:tc>
          <w:tcPr>
            <w:tcW w:w="1170" w:type="dxa"/>
            <w:tcBorders>
              <w:tl2br w:val="nil"/>
              <w:tr2bl w:val="nil"/>
            </w:tcBorders>
            <w:shd w:val="clear" w:color="auto" w:fill="auto"/>
            <w:tcMar>
              <w:top w:w="0" w:type="dxa"/>
              <w:left w:w="90" w:type="dxa"/>
              <w:bottom w:w="0" w:type="dxa"/>
              <w:right w:w="90" w:type="dxa"/>
            </w:tcMar>
            <w:vAlign w:val="center"/>
          </w:tcPr>
          <w:p w14:paraId="776F4B2C">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91</w:t>
            </w:r>
          </w:p>
        </w:tc>
        <w:tc>
          <w:tcPr>
            <w:tcW w:w="1695" w:type="dxa"/>
            <w:tcBorders>
              <w:tl2br w:val="nil"/>
              <w:tr2bl w:val="nil"/>
            </w:tcBorders>
            <w:shd w:val="clear" w:color="auto" w:fill="auto"/>
            <w:tcMar>
              <w:top w:w="0" w:type="dxa"/>
              <w:left w:w="90" w:type="dxa"/>
              <w:bottom w:w="0" w:type="dxa"/>
              <w:right w:w="90" w:type="dxa"/>
            </w:tcMar>
            <w:vAlign w:val="center"/>
          </w:tcPr>
          <w:p w14:paraId="1CB6F6A4">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±2.0</w:t>
            </w:r>
          </w:p>
        </w:tc>
      </w:tr>
      <w:tr w14:paraId="42D78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575" w:type="dxa"/>
            <w:tcBorders>
              <w:tl2br w:val="nil"/>
              <w:tr2bl w:val="nil"/>
            </w:tcBorders>
            <w:shd w:val="clear" w:color="auto" w:fill="auto"/>
            <w:tcMar>
              <w:top w:w="0" w:type="dxa"/>
              <w:left w:w="90" w:type="dxa"/>
              <w:bottom w:w="0" w:type="dxa"/>
              <w:right w:w="90" w:type="dxa"/>
            </w:tcMar>
            <w:vAlign w:val="center"/>
          </w:tcPr>
          <w:p w14:paraId="332C78AB">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2</w:t>
            </w:r>
          </w:p>
        </w:tc>
        <w:tc>
          <w:tcPr>
            <w:tcW w:w="2040" w:type="dxa"/>
            <w:tcBorders>
              <w:tl2br w:val="nil"/>
              <w:tr2bl w:val="nil"/>
            </w:tcBorders>
            <w:shd w:val="clear" w:color="auto" w:fill="auto"/>
            <w:tcMar>
              <w:top w:w="0" w:type="dxa"/>
              <w:left w:w="90" w:type="dxa"/>
              <w:bottom w:w="0" w:type="dxa"/>
              <w:right w:w="90" w:type="dxa"/>
            </w:tcMar>
            <w:vAlign w:val="center"/>
          </w:tcPr>
          <w:p w14:paraId="507C1EDB">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后身长</w:t>
            </w:r>
          </w:p>
        </w:tc>
        <w:tc>
          <w:tcPr>
            <w:tcW w:w="1125" w:type="dxa"/>
            <w:tcBorders>
              <w:tl2br w:val="nil"/>
              <w:tr2bl w:val="nil"/>
            </w:tcBorders>
            <w:shd w:val="clear" w:color="auto" w:fill="auto"/>
            <w:tcMar>
              <w:top w:w="0" w:type="dxa"/>
              <w:left w:w="90" w:type="dxa"/>
              <w:bottom w:w="0" w:type="dxa"/>
              <w:right w:w="90" w:type="dxa"/>
            </w:tcMar>
            <w:vAlign w:val="center"/>
          </w:tcPr>
          <w:p w14:paraId="73394876">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80</w:t>
            </w:r>
          </w:p>
        </w:tc>
        <w:tc>
          <w:tcPr>
            <w:tcW w:w="1080" w:type="dxa"/>
            <w:tcBorders>
              <w:tl2br w:val="nil"/>
              <w:tr2bl w:val="nil"/>
            </w:tcBorders>
            <w:shd w:val="clear" w:color="auto" w:fill="auto"/>
            <w:tcMar>
              <w:top w:w="0" w:type="dxa"/>
              <w:left w:w="90" w:type="dxa"/>
              <w:bottom w:w="0" w:type="dxa"/>
              <w:right w:w="90" w:type="dxa"/>
            </w:tcMar>
            <w:vAlign w:val="center"/>
          </w:tcPr>
          <w:p w14:paraId="4CA1C93E">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85</w:t>
            </w:r>
          </w:p>
        </w:tc>
        <w:tc>
          <w:tcPr>
            <w:tcW w:w="1170" w:type="dxa"/>
            <w:tcBorders>
              <w:tl2br w:val="nil"/>
              <w:tr2bl w:val="nil"/>
            </w:tcBorders>
            <w:shd w:val="clear" w:color="auto" w:fill="auto"/>
            <w:tcMar>
              <w:top w:w="0" w:type="dxa"/>
              <w:left w:w="90" w:type="dxa"/>
              <w:bottom w:w="0" w:type="dxa"/>
              <w:right w:w="90" w:type="dxa"/>
            </w:tcMar>
            <w:vAlign w:val="center"/>
          </w:tcPr>
          <w:p w14:paraId="00AA50A6">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90</w:t>
            </w:r>
          </w:p>
        </w:tc>
        <w:tc>
          <w:tcPr>
            <w:tcW w:w="1695" w:type="dxa"/>
            <w:tcBorders>
              <w:tl2br w:val="nil"/>
              <w:tr2bl w:val="nil"/>
            </w:tcBorders>
            <w:shd w:val="clear" w:color="auto" w:fill="auto"/>
            <w:tcMar>
              <w:top w:w="0" w:type="dxa"/>
              <w:left w:w="90" w:type="dxa"/>
              <w:bottom w:w="0" w:type="dxa"/>
              <w:right w:w="90" w:type="dxa"/>
            </w:tcMar>
            <w:vAlign w:val="center"/>
          </w:tcPr>
          <w:p w14:paraId="10A51B7D">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±2.0</w:t>
            </w:r>
          </w:p>
        </w:tc>
      </w:tr>
      <w:tr w14:paraId="3304D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575" w:type="dxa"/>
            <w:tcBorders>
              <w:tl2br w:val="nil"/>
              <w:tr2bl w:val="nil"/>
            </w:tcBorders>
            <w:shd w:val="clear" w:color="auto" w:fill="auto"/>
            <w:tcMar>
              <w:top w:w="0" w:type="dxa"/>
              <w:left w:w="90" w:type="dxa"/>
              <w:bottom w:w="0" w:type="dxa"/>
              <w:right w:w="90" w:type="dxa"/>
            </w:tcMar>
            <w:vAlign w:val="center"/>
          </w:tcPr>
          <w:p w14:paraId="5B92679C">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3</w:t>
            </w:r>
          </w:p>
        </w:tc>
        <w:tc>
          <w:tcPr>
            <w:tcW w:w="2040" w:type="dxa"/>
            <w:tcBorders>
              <w:tl2br w:val="nil"/>
              <w:tr2bl w:val="nil"/>
            </w:tcBorders>
            <w:shd w:val="clear" w:color="auto" w:fill="auto"/>
            <w:tcMar>
              <w:top w:w="0" w:type="dxa"/>
              <w:left w:w="90" w:type="dxa"/>
              <w:bottom w:w="0" w:type="dxa"/>
              <w:right w:w="90" w:type="dxa"/>
            </w:tcMar>
            <w:vAlign w:val="center"/>
          </w:tcPr>
          <w:p w14:paraId="00D1FE8C">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袖长</w:t>
            </w:r>
          </w:p>
        </w:tc>
        <w:tc>
          <w:tcPr>
            <w:tcW w:w="1125" w:type="dxa"/>
            <w:tcBorders>
              <w:tl2br w:val="nil"/>
              <w:tr2bl w:val="nil"/>
            </w:tcBorders>
            <w:shd w:val="clear" w:color="auto" w:fill="auto"/>
            <w:tcMar>
              <w:top w:w="0" w:type="dxa"/>
              <w:left w:w="90" w:type="dxa"/>
              <w:bottom w:w="0" w:type="dxa"/>
              <w:right w:w="90" w:type="dxa"/>
            </w:tcMar>
            <w:vAlign w:val="center"/>
          </w:tcPr>
          <w:p w14:paraId="66992E97">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68</w:t>
            </w:r>
          </w:p>
        </w:tc>
        <w:tc>
          <w:tcPr>
            <w:tcW w:w="1080" w:type="dxa"/>
            <w:tcBorders>
              <w:tl2br w:val="nil"/>
              <w:tr2bl w:val="nil"/>
            </w:tcBorders>
            <w:shd w:val="clear" w:color="auto" w:fill="auto"/>
            <w:tcMar>
              <w:top w:w="0" w:type="dxa"/>
              <w:left w:w="90" w:type="dxa"/>
              <w:bottom w:w="0" w:type="dxa"/>
              <w:right w:w="90" w:type="dxa"/>
            </w:tcMar>
            <w:vAlign w:val="center"/>
          </w:tcPr>
          <w:p w14:paraId="51B3619B">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70</w:t>
            </w:r>
          </w:p>
        </w:tc>
        <w:tc>
          <w:tcPr>
            <w:tcW w:w="1170" w:type="dxa"/>
            <w:tcBorders>
              <w:tl2br w:val="nil"/>
              <w:tr2bl w:val="nil"/>
            </w:tcBorders>
            <w:shd w:val="clear" w:color="auto" w:fill="auto"/>
            <w:tcMar>
              <w:top w:w="0" w:type="dxa"/>
              <w:left w:w="90" w:type="dxa"/>
              <w:bottom w:w="0" w:type="dxa"/>
              <w:right w:w="90" w:type="dxa"/>
            </w:tcMar>
            <w:vAlign w:val="center"/>
          </w:tcPr>
          <w:p w14:paraId="749A3C4B">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72</w:t>
            </w:r>
          </w:p>
        </w:tc>
        <w:tc>
          <w:tcPr>
            <w:tcW w:w="1695" w:type="dxa"/>
            <w:tcBorders>
              <w:tl2br w:val="nil"/>
              <w:tr2bl w:val="nil"/>
            </w:tcBorders>
            <w:shd w:val="clear" w:color="auto" w:fill="auto"/>
            <w:tcMar>
              <w:top w:w="0" w:type="dxa"/>
              <w:left w:w="90" w:type="dxa"/>
              <w:bottom w:w="0" w:type="dxa"/>
              <w:right w:w="90" w:type="dxa"/>
            </w:tcMar>
            <w:vAlign w:val="center"/>
          </w:tcPr>
          <w:p w14:paraId="2B0A7059">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±2.0</w:t>
            </w:r>
          </w:p>
        </w:tc>
      </w:tr>
      <w:tr w14:paraId="0D39E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575" w:type="dxa"/>
            <w:tcBorders>
              <w:tl2br w:val="nil"/>
              <w:tr2bl w:val="nil"/>
            </w:tcBorders>
            <w:shd w:val="clear" w:color="auto" w:fill="auto"/>
            <w:tcMar>
              <w:top w:w="0" w:type="dxa"/>
              <w:left w:w="90" w:type="dxa"/>
              <w:bottom w:w="0" w:type="dxa"/>
              <w:right w:w="90" w:type="dxa"/>
            </w:tcMar>
            <w:vAlign w:val="center"/>
          </w:tcPr>
          <w:p w14:paraId="37B09D6E">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4</w:t>
            </w:r>
          </w:p>
        </w:tc>
        <w:tc>
          <w:tcPr>
            <w:tcW w:w="2040" w:type="dxa"/>
            <w:tcBorders>
              <w:tl2br w:val="nil"/>
              <w:tr2bl w:val="nil"/>
            </w:tcBorders>
            <w:shd w:val="clear" w:color="auto" w:fill="auto"/>
            <w:tcMar>
              <w:top w:w="0" w:type="dxa"/>
              <w:left w:w="90" w:type="dxa"/>
              <w:bottom w:w="0" w:type="dxa"/>
              <w:right w:w="90" w:type="dxa"/>
            </w:tcMar>
            <w:vAlign w:val="center"/>
          </w:tcPr>
          <w:p w14:paraId="43C42B7E">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胸围</w:t>
            </w:r>
          </w:p>
        </w:tc>
        <w:tc>
          <w:tcPr>
            <w:tcW w:w="1125" w:type="dxa"/>
            <w:tcBorders>
              <w:tl2br w:val="nil"/>
              <w:tr2bl w:val="nil"/>
            </w:tcBorders>
            <w:shd w:val="clear" w:color="auto" w:fill="auto"/>
            <w:tcMar>
              <w:top w:w="0" w:type="dxa"/>
              <w:left w:w="90" w:type="dxa"/>
              <w:bottom w:w="0" w:type="dxa"/>
              <w:right w:w="90" w:type="dxa"/>
            </w:tcMar>
            <w:vAlign w:val="center"/>
          </w:tcPr>
          <w:p w14:paraId="5888CD72">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120</w:t>
            </w:r>
          </w:p>
        </w:tc>
        <w:tc>
          <w:tcPr>
            <w:tcW w:w="1080" w:type="dxa"/>
            <w:tcBorders>
              <w:tl2br w:val="nil"/>
              <w:tr2bl w:val="nil"/>
            </w:tcBorders>
            <w:shd w:val="clear" w:color="auto" w:fill="auto"/>
            <w:tcMar>
              <w:top w:w="0" w:type="dxa"/>
              <w:left w:w="90" w:type="dxa"/>
              <w:bottom w:w="0" w:type="dxa"/>
              <w:right w:w="90" w:type="dxa"/>
            </w:tcMar>
            <w:vAlign w:val="center"/>
          </w:tcPr>
          <w:p w14:paraId="5AC310D5">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126</w:t>
            </w:r>
          </w:p>
        </w:tc>
        <w:tc>
          <w:tcPr>
            <w:tcW w:w="1170" w:type="dxa"/>
            <w:tcBorders>
              <w:tl2br w:val="nil"/>
              <w:tr2bl w:val="nil"/>
            </w:tcBorders>
            <w:shd w:val="clear" w:color="auto" w:fill="auto"/>
            <w:tcMar>
              <w:top w:w="0" w:type="dxa"/>
              <w:left w:w="90" w:type="dxa"/>
              <w:bottom w:w="0" w:type="dxa"/>
              <w:right w:w="90" w:type="dxa"/>
            </w:tcMar>
            <w:vAlign w:val="center"/>
          </w:tcPr>
          <w:p w14:paraId="2961B7BA">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132</w:t>
            </w:r>
          </w:p>
        </w:tc>
        <w:tc>
          <w:tcPr>
            <w:tcW w:w="1695" w:type="dxa"/>
            <w:tcBorders>
              <w:tl2br w:val="nil"/>
              <w:tr2bl w:val="nil"/>
            </w:tcBorders>
            <w:shd w:val="clear" w:color="auto" w:fill="auto"/>
            <w:tcMar>
              <w:top w:w="0" w:type="dxa"/>
              <w:left w:w="90" w:type="dxa"/>
              <w:bottom w:w="0" w:type="dxa"/>
              <w:right w:w="90" w:type="dxa"/>
            </w:tcMar>
            <w:vAlign w:val="center"/>
          </w:tcPr>
          <w:p w14:paraId="7B6CAA06">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±2.0</w:t>
            </w:r>
          </w:p>
        </w:tc>
      </w:tr>
      <w:tr w14:paraId="50E98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575" w:type="dxa"/>
            <w:tcBorders>
              <w:tl2br w:val="nil"/>
              <w:tr2bl w:val="nil"/>
            </w:tcBorders>
            <w:shd w:val="clear" w:color="auto" w:fill="auto"/>
            <w:tcMar>
              <w:top w:w="0" w:type="dxa"/>
              <w:left w:w="90" w:type="dxa"/>
              <w:bottom w:w="0" w:type="dxa"/>
              <w:right w:w="90" w:type="dxa"/>
            </w:tcMar>
            <w:vAlign w:val="center"/>
          </w:tcPr>
          <w:p w14:paraId="2E032105">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5</w:t>
            </w:r>
          </w:p>
        </w:tc>
        <w:tc>
          <w:tcPr>
            <w:tcW w:w="2040" w:type="dxa"/>
            <w:tcBorders>
              <w:tl2br w:val="nil"/>
              <w:tr2bl w:val="nil"/>
            </w:tcBorders>
            <w:shd w:val="clear" w:color="auto" w:fill="auto"/>
            <w:tcMar>
              <w:top w:w="0" w:type="dxa"/>
              <w:left w:w="90" w:type="dxa"/>
              <w:bottom w:w="0" w:type="dxa"/>
              <w:right w:w="90" w:type="dxa"/>
            </w:tcMar>
            <w:vAlign w:val="center"/>
          </w:tcPr>
          <w:p w14:paraId="28466152">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肩宽</w:t>
            </w:r>
          </w:p>
        </w:tc>
        <w:tc>
          <w:tcPr>
            <w:tcW w:w="1125" w:type="dxa"/>
            <w:tcBorders>
              <w:tl2br w:val="nil"/>
              <w:tr2bl w:val="nil"/>
            </w:tcBorders>
            <w:shd w:val="clear" w:color="auto" w:fill="auto"/>
            <w:tcMar>
              <w:top w:w="0" w:type="dxa"/>
              <w:left w:w="90" w:type="dxa"/>
              <w:bottom w:w="0" w:type="dxa"/>
              <w:right w:w="90" w:type="dxa"/>
            </w:tcMar>
            <w:vAlign w:val="center"/>
          </w:tcPr>
          <w:p w14:paraId="33DF0BF5">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50</w:t>
            </w:r>
          </w:p>
        </w:tc>
        <w:tc>
          <w:tcPr>
            <w:tcW w:w="1080" w:type="dxa"/>
            <w:tcBorders>
              <w:tl2br w:val="nil"/>
              <w:tr2bl w:val="nil"/>
            </w:tcBorders>
            <w:shd w:val="clear" w:color="auto" w:fill="auto"/>
            <w:tcMar>
              <w:top w:w="0" w:type="dxa"/>
              <w:left w:w="90" w:type="dxa"/>
              <w:bottom w:w="0" w:type="dxa"/>
              <w:right w:w="90" w:type="dxa"/>
            </w:tcMar>
            <w:vAlign w:val="center"/>
          </w:tcPr>
          <w:p w14:paraId="43EE2111">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52</w:t>
            </w:r>
          </w:p>
        </w:tc>
        <w:tc>
          <w:tcPr>
            <w:tcW w:w="1170" w:type="dxa"/>
            <w:tcBorders>
              <w:tl2br w:val="nil"/>
              <w:tr2bl w:val="nil"/>
            </w:tcBorders>
            <w:shd w:val="clear" w:color="auto" w:fill="auto"/>
            <w:tcMar>
              <w:top w:w="0" w:type="dxa"/>
              <w:left w:w="90" w:type="dxa"/>
              <w:bottom w:w="0" w:type="dxa"/>
              <w:right w:w="90" w:type="dxa"/>
            </w:tcMar>
            <w:vAlign w:val="center"/>
          </w:tcPr>
          <w:p w14:paraId="2A528382">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54</w:t>
            </w:r>
          </w:p>
        </w:tc>
        <w:tc>
          <w:tcPr>
            <w:tcW w:w="1695" w:type="dxa"/>
            <w:tcBorders>
              <w:tl2br w:val="nil"/>
              <w:tr2bl w:val="nil"/>
            </w:tcBorders>
            <w:shd w:val="clear" w:color="auto" w:fill="auto"/>
            <w:tcMar>
              <w:top w:w="0" w:type="dxa"/>
              <w:left w:w="90" w:type="dxa"/>
              <w:bottom w:w="0" w:type="dxa"/>
              <w:right w:w="90" w:type="dxa"/>
            </w:tcMar>
            <w:vAlign w:val="center"/>
          </w:tcPr>
          <w:p w14:paraId="573A6DEC">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±2.0</w:t>
            </w:r>
          </w:p>
        </w:tc>
      </w:tr>
      <w:tr w14:paraId="3EA50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575" w:type="dxa"/>
            <w:tcBorders>
              <w:tl2br w:val="nil"/>
              <w:tr2bl w:val="nil"/>
            </w:tcBorders>
            <w:shd w:val="clear" w:color="auto" w:fill="auto"/>
            <w:tcMar>
              <w:top w:w="0" w:type="dxa"/>
              <w:left w:w="90" w:type="dxa"/>
              <w:bottom w:w="0" w:type="dxa"/>
              <w:right w:w="90" w:type="dxa"/>
            </w:tcMar>
            <w:vAlign w:val="center"/>
          </w:tcPr>
          <w:p w14:paraId="50D5B0BA">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6</w:t>
            </w:r>
          </w:p>
        </w:tc>
        <w:tc>
          <w:tcPr>
            <w:tcW w:w="2040" w:type="dxa"/>
            <w:tcBorders>
              <w:tl2br w:val="nil"/>
              <w:tr2bl w:val="nil"/>
            </w:tcBorders>
            <w:shd w:val="clear" w:color="auto" w:fill="auto"/>
            <w:tcMar>
              <w:top w:w="0" w:type="dxa"/>
              <w:left w:w="90" w:type="dxa"/>
              <w:bottom w:w="0" w:type="dxa"/>
              <w:right w:w="90" w:type="dxa"/>
            </w:tcMar>
            <w:vAlign w:val="center"/>
          </w:tcPr>
          <w:p w14:paraId="089D07C3">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领围</w:t>
            </w:r>
          </w:p>
        </w:tc>
        <w:tc>
          <w:tcPr>
            <w:tcW w:w="1125" w:type="dxa"/>
            <w:tcBorders>
              <w:tl2br w:val="nil"/>
              <w:tr2bl w:val="nil"/>
            </w:tcBorders>
            <w:shd w:val="clear" w:color="auto" w:fill="auto"/>
            <w:tcMar>
              <w:top w:w="0" w:type="dxa"/>
              <w:left w:w="90" w:type="dxa"/>
              <w:bottom w:w="0" w:type="dxa"/>
              <w:right w:w="90" w:type="dxa"/>
            </w:tcMar>
            <w:vAlign w:val="center"/>
          </w:tcPr>
          <w:p w14:paraId="5D1AA4EB">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56</w:t>
            </w:r>
          </w:p>
        </w:tc>
        <w:tc>
          <w:tcPr>
            <w:tcW w:w="1080" w:type="dxa"/>
            <w:tcBorders>
              <w:tl2br w:val="nil"/>
              <w:tr2bl w:val="nil"/>
            </w:tcBorders>
            <w:shd w:val="clear" w:color="auto" w:fill="auto"/>
            <w:tcMar>
              <w:top w:w="0" w:type="dxa"/>
              <w:left w:w="90" w:type="dxa"/>
              <w:bottom w:w="0" w:type="dxa"/>
              <w:right w:w="90" w:type="dxa"/>
            </w:tcMar>
            <w:vAlign w:val="center"/>
          </w:tcPr>
          <w:p w14:paraId="13C96900">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58</w:t>
            </w:r>
          </w:p>
        </w:tc>
        <w:tc>
          <w:tcPr>
            <w:tcW w:w="1170" w:type="dxa"/>
            <w:tcBorders>
              <w:tl2br w:val="nil"/>
              <w:tr2bl w:val="nil"/>
            </w:tcBorders>
            <w:shd w:val="clear" w:color="auto" w:fill="auto"/>
            <w:tcMar>
              <w:top w:w="0" w:type="dxa"/>
              <w:left w:w="90" w:type="dxa"/>
              <w:bottom w:w="0" w:type="dxa"/>
              <w:right w:w="90" w:type="dxa"/>
            </w:tcMar>
            <w:vAlign w:val="center"/>
          </w:tcPr>
          <w:p w14:paraId="2F733644">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60</w:t>
            </w:r>
          </w:p>
        </w:tc>
        <w:tc>
          <w:tcPr>
            <w:tcW w:w="1695" w:type="dxa"/>
            <w:tcBorders>
              <w:tl2br w:val="nil"/>
              <w:tr2bl w:val="nil"/>
            </w:tcBorders>
            <w:shd w:val="clear" w:color="auto" w:fill="auto"/>
            <w:tcMar>
              <w:top w:w="0" w:type="dxa"/>
              <w:left w:w="90" w:type="dxa"/>
              <w:bottom w:w="0" w:type="dxa"/>
              <w:right w:w="90" w:type="dxa"/>
            </w:tcMar>
            <w:vAlign w:val="center"/>
          </w:tcPr>
          <w:p w14:paraId="30E3F39F">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±2.0</w:t>
            </w:r>
          </w:p>
        </w:tc>
      </w:tr>
    </w:tbl>
    <w:p w14:paraId="36410340">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1.2面料：涤棉混纺染色卡其布；成份含量65%±5%聚酯纤维，35%±5%棉；密度（根/10cm）：14×2/28，经向510×纬向260，强力经向≥500N 纬向≥400N。</w:t>
      </w:r>
    </w:p>
    <w:p w14:paraId="283AFB8F">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1.3里料:成份含量100%聚酯纤维；强力经向≥400N 纬向≥300N。</w:t>
      </w:r>
    </w:p>
    <w:p w14:paraId="17F99994">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1.4填充絮片：成份含量棉50%±5%聚酯纤维50%±5%；身保暖层250g/m2，袖保暖层150g/m2。</w:t>
      </w:r>
    </w:p>
    <w:p w14:paraId="44ECCFDE">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1.5领面割圈绒：毛高8mm（偏差-1.0mm），克重600 g/m2（偏差-12.0 g/m2），顶破强力≥250N 。</w:t>
      </w:r>
    </w:p>
    <w:p w14:paraId="145031FB">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1.6聚酯树脂四眼扣：前门襟扣、后腰带扣Φ26㎜、后开衩扣Φ15㎜。</w:t>
      </w:r>
    </w:p>
    <w:p w14:paraId="7634CB5C">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1.7颜色：大衣面料、里料和领绒颜色为藏青色(PANTONE 18－4141 TPX)；缝纫、锁钉线、聚酯四眼扣等辅料颜色应与面料颜色相匹配。</w:t>
      </w:r>
    </w:p>
    <w:p w14:paraId="2F0CB1A5">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1.8色泽偏差范围:成品表面颜色不低于4级，评定级别按GB/T 250—2008规定,成品非表面颜色不低于3～4级，评定级别按GB/T 250—2008规定。</w:t>
      </w:r>
    </w:p>
    <w:p w14:paraId="31B8E72F">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1.9敷衬:领里、袋盖面、袋口各敷衬一层,衬的收缩率应与面料相适宜。</w:t>
      </w:r>
    </w:p>
    <w:p w14:paraId="470DA527">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1.10缝制:缝纫针距、明线针距≥12针/3cm；暗线针距≥11针/3cm。</w:t>
      </w:r>
    </w:p>
    <w:p w14:paraId="2626B3A9">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要求缝纫线路顺直，定位准确，距边宽窄一致，结合牢固，松紧适宜。</w:t>
      </w:r>
    </w:p>
    <w:p w14:paraId="4C393018">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1.11锁钉：锁2.8cm直眼不少于58针，锁1.7cm直眼不少于36针，扣眼美观、规整、牢固、不偏歪，钉扣每孔不少于6根线，反面留线头长0.5cm～1.0cm。</w:t>
      </w:r>
    </w:p>
    <w:p w14:paraId="257BB968">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2、提供所投产品2019年经省 级及以上检测机构出具的检测报告复印件（加盖公章），原件备查。检测依据为该类产品国家标准中GB/T 2662—2017 (合格品)、GB 18401-2010(B类) 、GB18383-2007及招标文件有关要求。检测项目必须有：面料（纤维含量、耐干摩擦色牢度、可分解致癌芳香胺染料、PH值、甲醛含量）、里料（纤维含量）、填充物（纤维含量、原料要求）。未提供检测报告或检测报告内的检测项目未达到招标文件要求的，视为投标无效。</w:t>
      </w:r>
    </w:p>
    <w:p w14:paraId="59A5F72B">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3、包装：每件棉大衣反面向外折叠，套好手提塑料袋独立包装，每10件一纸箱，配号包装，每箱内大、小号各2件，中号6件。</w:t>
      </w:r>
    </w:p>
    <w:p w14:paraId="189BC2DD">
      <w:pPr>
        <w:pStyle w:val="5"/>
        <w:keepNext w:val="0"/>
        <w:keepLines w:val="0"/>
        <w:widowControl/>
        <w:suppressLineNumbers w:val="0"/>
        <w:spacing w:before="75" w:beforeAutospacing="0" w:after="150" w:afterAutospacing="0"/>
        <w:ind w:left="0" w:right="0"/>
        <w:jc w:val="left"/>
      </w:pPr>
      <w:r>
        <w:rPr>
          <w:rFonts w:hint="eastAsia" w:ascii="宋体" w:hAnsi="宋体" w:eastAsia="宋体" w:cs="宋体"/>
          <w:sz w:val="28"/>
          <w:szCs w:val="28"/>
        </w:rPr>
        <w:t>     4、样品要求：棉大衣、包装【塑料袋、纸箱截片（长、宽≥10cm）、打包带（长度≥10cm）】，未提供样品视为投标无效。</w:t>
      </w:r>
    </w:p>
    <w:p w14:paraId="47BC5A14">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5、包装印刷及其他要求：</w:t>
      </w:r>
    </w:p>
    <w:p w14:paraId="3A4EDDA9">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   （1）纸箱外两侧面均印刷黑色的产品名 称、数量、质量、体积、生产年月、型号、承制单位名 称。其中产品名 称、承制单位名 称为黑体字，其他为宋体字。产品名 称前加“救灾”二字且字体宽度为60mm，其他字体宽度为35mm，承制单位名 称字体大小可根据单位名 称字数酌情选择，参 考图见《图1：外包装印刷示意图》。</w:t>
      </w:r>
    </w:p>
    <w:p w14:paraId="6592CE00">
      <w:pPr>
        <w:pStyle w:val="5"/>
        <w:keepNext w:val="0"/>
        <w:keepLines w:val="0"/>
        <w:widowControl/>
        <w:suppressLineNumbers w:val="0"/>
        <w:spacing w:before="0" w:beforeAutospacing="0" w:after="150" w:afterAutospacing="0"/>
        <w:ind w:left="0" w:right="0"/>
        <w:jc w:val="center"/>
      </w:pPr>
      <w:r>
        <w:drawing>
          <wp:inline distT="0" distB="0" distL="114300" distR="114300">
            <wp:extent cx="4038600" cy="2391410"/>
            <wp:effectExtent l="0" t="0" r="0" b="8890"/>
            <wp:docPr id="5" name="图片 1" descr="1562143992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1562143992783.png"/>
                    <pic:cNvPicPr>
                      <a:picLocks noChangeAspect="1"/>
                    </pic:cNvPicPr>
                  </pic:nvPicPr>
                  <pic:blipFill>
                    <a:blip r:embed="rId5"/>
                    <a:stretch>
                      <a:fillRect/>
                    </a:stretch>
                  </pic:blipFill>
                  <pic:spPr>
                    <a:xfrm>
                      <a:off x="0" y="0"/>
                      <a:ext cx="4038600" cy="2391410"/>
                    </a:xfrm>
                    <a:prstGeom prst="rect">
                      <a:avLst/>
                    </a:prstGeom>
                    <a:noFill/>
                    <a:ln w="9525">
                      <a:noFill/>
                    </a:ln>
                  </pic:spPr>
                </pic:pic>
              </a:graphicData>
            </a:graphic>
          </wp:inline>
        </w:drawing>
      </w:r>
    </w:p>
    <w:p w14:paraId="6A8DE75C">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56"/>
        <w:textAlignment w:val="auto"/>
      </w:pPr>
      <w:r>
        <w:rPr>
          <w:rFonts w:hint="eastAsia" w:ascii="宋体" w:hAnsi="宋体" w:eastAsia="宋体" w:cs="宋体"/>
          <w:sz w:val="28"/>
          <w:szCs w:val="28"/>
        </w:rPr>
        <w:t>（2）纸箱两侧面距封口</w:t>
      </w:r>
      <w:r>
        <w:rPr>
          <w:rFonts w:ascii="仿宋_GB2312" w:hAnsi="宋体" w:eastAsia="仿宋_GB2312" w:cs="仿宋_GB2312"/>
          <w:sz w:val="28"/>
          <w:szCs w:val="28"/>
        </w:rPr>
        <w:t>8cm</w:t>
      </w:r>
      <w:r>
        <w:rPr>
          <w:rFonts w:hint="eastAsia" w:ascii="宋体" w:hAnsi="宋体" w:eastAsia="宋体" w:cs="宋体"/>
          <w:sz w:val="28"/>
          <w:szCs w:val="28"/>
        </w:rPr>
        <w:t>处需各贴</w:t>
      </w:r>
      <w:r>
        <w:rPr>
          <w:rFonts w:hint="default" w:ascii="仿宋_GB2312" w:hAnsi="宋体" w:eastAsia="仿宋_GB2312" w:cs="仿宋_GB2312"/>
          <w:sz w:val="28"/>
          <w:szCs w:val="28"/>
        </w:rPr>
        <w:t>1</w:t>
      </w:r>
      <w:r>
        <w:rPr>
          <w:rFonts w:hint="eastAsia" w:ascii="宋体" w:hAnsi="宋体" w:eastAsia="宋体" w:cs="宋体"/>
          <w:sz w:val="28"/>
          <w:szCs w:val="28"/>
        </w:rPr>
        <w:t>个超高频电子标签（每纸箱贴</w:t>
      </w:r>
      <w:r>
        <w:rPr>
          <w:rFonts w:hint="default" w:ascii="仿宋_GB2312" w:hAnsi="宋体" w:eastAsia="仿宋_GB2312" w:cs="仿宋_GB2312"/>
          <w:sz w:val="28"/>
          <w:szCs w:val="28"/>
        </w:rPr>
        <w:t>2</w:t>
      </w:r>
      <w:r>
        <w:rPr>
          <w:rFonts w:hint="eastAsia" w:ascii="宋体" w:hAnsi="宋体" w:eastAsia="宋体" w:cs="宋体"/>
          <w:sz w:val="28"/>
          <w:szCs w:val="28"/>
        </w:rPr>
        <w:t>个）。电子标签为纸质超高频电子标签，长度为</w:t>
      </w:r>
      <w:r>
        <w:rPr>
          <w:rFonts w:hint="default" w:ascii="仿宋_GB2312" w:hAnsi="宋体" w:eastAsia="仿宋_GB2312" w:cs="仿宋_GB2312"/>
          <w:sz w:val="28"/>
          <w:szCs w:val="28"/>
        </w:rPr>
        <w:t>100mm</w:t>
      </w:r>
      <w:r>
        <w:rPr>
          <w:rFonts w:hint="eastAsia" w:ascii="宋体" w:hAnsi="宋体" w:eastAsia="宋体" w:cs="宋体"/>
          <w:sz w:val="28"/>
          <w:szCs w:val="28"/>
        </w:rPr>
        <w:t>，宽度为</w:t>
      </w:r>
      <w:r>
        <w:rPr>
          <w:rFonts w:hint="default" w:ascii="仿宋_GB2312" w:hAnsi="宋体" w:eastAsia="仿宋_GB2312" w:cs="仿宋_GB2312"/>
          <w:sz w:val="28"/>
          <w:szCs w:val="28"/>
        </w:rPr>
        <w:t>50mm</w:t>
      </w:r>
      <w:r>
        <w:rPr>
          <w:rFonts w:hint="eastAsia" w:ascii="宋体" w:hAnsi="宋体" w:eastAsia="宋体" w:cs="宋体"/>
          <w:sz w:val="28"/>
          <w:szCs w:val="28"/>
        </w:rPr>
        <w:t>。电子标签编码规则在合同签订后由采购人提供，空白电子标签由中标人采购，电子标签打印采购人可协助，电子标签需由中标人在物资卸货时负责粘贴。中标人应严格按照要求粘贴电子标签，保证电子标签平整、美观、无损坏。电子标签采购、打印、粘贴等产生的费用由中标人承担，计入中标价。电子标签参 考图见《图2：电子标签示意图》。</w:t>
      </w:r>
    </w:p>
    <w:p w14:paraId="2AC78C71">
      <w:pPr>
        <w:pStyle w:val="5"/>
        <w:keepNext w:val="0"/>
        <w:keepLines w:val="0"/>
        <w:widowControl/>
        <w:suppressLineNumbers w:val="0"/>
        <w:spacing w:before="0" w:beforeAutospacing="0" w:after="150" w:afterAutospacing="0"/>
        <w:ind w:left="0" w:right="0"/>
        <w:jc w:val="center"/>
      </w:pPr>
      <w:r>
        <w:drawing>
          <wp:inline distT="0" distB="0" distL="114300" distR="114300">
            <wp:extent cx="4210050" cy="2324100"/>
            <wp:effectExtent l="0" t="0" r="0" b="0"/>
            <wp:docPr id="4" name="图片 2" descr="1562144017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1562144017101.png"/>
                    <pic:cNvPicPr>
                      <a:picLocks noChangeAspect="1"/>
                    </pic:cNvPicPr>
                  </pic:nvPicPr>
                  <pic:blipFill>
                    <a:blip r:embed="rId6"/>
                    <a:stretch>
                      <a:fillRect/>
                    </a:stretch>
                  </pic:blipFill>
                  <pic:spPr>
                    <a:xfrm>
                      <a:off x="0" y="0"/>
                      <a:ext cx="4210050" cy="2324100"/>
                    </a:xfrm>
                    <a:prstGeom prst="rect">
                      <a:avLst/>
                    </a:prstGeom>
                    <a:noFill/>
                    <a:ln w="9525">
                      <a:noFill/>
                    </a:ln>
                  </pic:spPr>
                </pic:pic>
              </a:graphicData>
            </a:graphic>
          </wp:inline>
        </w:drawing>
      </w:r>
    </w:p>
    <w:p w14:paraId="6B7F5224">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60" w:firstLineChars="200"/>
        <w:textAlignment w:val="auto"/>
      </w:pPr>
      <w:r>
        <w:rPr>
          <w:rFonts w:hint="eastAsia" w:ascii="宋体" w:hAnsi="宋体" w:eastAsia="宋体" w:cs="宋体"/>
          <w:sz w:val="28"/>
          <w:szCs w:val="28"/>
        </w:rPr>
        <w:t>（3）纸箱为双瓦楞纸，箱外需打井字型打包带，便于搬运。</w:t>
      </w:r>
    </w:p>
    <w:p w14:paraId="5445912E">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60" w:firstLineChars="200"/>
        <w:textAlignment w:val="auto"/>
      </w:pPr>
      <w:r>
        <w:rPr>
          <w:rFonts w:hint="eastAsia" w:ascii="宋体" w:hAnsi="宋体" w:eastAsia="宋体" w:cs="宋体"/>
          <w:sz w:val="28"/>
          <w:szCs w:val="28"/>
        </w:rPr>
        <w:t>（4）每个纸箱内需附产品检验单一张，检验单样式见《图</w:t>
      </w:r>
      <w:r>
        <w:rPr>
          <w:rFonts w:hint="default" w:ascii="仿宋_GB2312" w:hAnsi="宋体" w:eastAsia="仿宋_GB2312" w:cs="仿宋_GB2312"/>
          <w:sz w:val="28"/>
          <w:szCs w:val="28"/>
        </w:rPr>
        <w:t>3 </w:t>
      </w:r>
      <w:r>
        <w:rPr>
          <w:rFonts w:hint="eastAsia" w:ascii="宋体" w:hAnsi="宋体" w:eastAsia="宋体" w:cs="宋体"/>
          <w:sz w:val="28"/>
          <w:szCs w:val="28"/>
        </w:rPr>
        <w:t>检验单》。其中“检验单”、“产品名 称”、“品等”、“生产日期”、“检验人员”和“承制单位名 称”标题为黑体字，其他为宋体字。检验单尺寸为</w:t>
      </w:r>
      <w:r>
        <w:rPr>
          <w:rFonts w:hint="default" w:ascii="仿宋_GB2312" w:hAnsi="宋体" w:eastAsia="仿宋_GB2312" w:cs="仿宋_GB2312"/>
          <w:sz w:val="28"/>
          <w:szCs w:val="28"/>
        </w:rPr>
        <w:t>B5</w:t>
      </w:r>
      <w:r>
        <w:rPr>
          <w:rFonts w:hint="eastAsia" w:ascii="宋体" w:hAnsi="宋体" w:eastAsia="宋体" w:cs="宋体"/>
          <w:sz w:val="28"/>
          <w:szCs w:val="28"/>
        </w:rPr>
        <w:t>纸的</w:t>
      </w:r>
      <w:r>
        <w:rPr>
          <w:rFonts w:hint="default" w:ascii="仿宋_GB2312" w:hAnsi="宋体" w:eastAsia="仿宋_GB2312" w:cs="仿宋_GB2312"/>
          <w:sz w:val="28"/>
          <w:szCs w:val="28"/>
        </w:rPr>
        <w:t>1/4</w:t>
      </w:r>
      <w:r>
        <w:rPr>
          <w:rFonts w:hint="eastAsia" w:ascii="宋体" w:hAnsi="宋体" w:eastAsia="宋体" w:cs="宋体"/>
          <w:sz w:val="28"/>
          <w:szCs w:val="28"/>
        </w:rPr>
        <w:t>。字体大小适宜。</w:t>
      </w:r>
    </w:p>
    <w:p w14:paraId="37492E8C">
      <w:pPr>
        <w:pStyle w:val="5"/>
        <w:keepNext w:val="0"/>
        <w:keepLines w:val="0"/>
        <w:widowControl/>
        <w:suppressLineNumbers w:val="0"/>
        <w:spacing w:before="0" w:beforeAutospacing="0" w:after="150" w:afterAutospacing="0"/>
        <w:ind w:left="0" w:right="0"/>
        <w:jc w:val="center"/>
      </w:pPr>
      <w:r>
        <w:drawing>
          <wp:inline distT="0" distB="0" distL="114300" distR="114300">
            <wp:extent cx="3800475" cy="1918335"/>
            <wp:effectExtent l="0" t="0" r="9525" b="5715"/>
            <wp:docPr id="3" name="图片 3" descr="1562144042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62144042719.png"/>
                    <pic:cNvPicPr>
                      <a:picLocks noChangeAspect="1"/>
                    </pic:cNvPicPr>
                  </pic:nvPicPr>
                  <pic:blipFill>
                    <a:blip r:embed="rId7"/>
                    <a:stretch>
                      <a:fillRect/>
                    </a:stretch>
                  </pic:blipFill>
                  <pic:spPr>
                    <a:xfrm>
                      <a:off x="0" y="0"/>
                      <a:ext cx="3800475" cy="1918335"/>
                    </a:xfrm>
                    <a:prstGeom prst="rect">
                      <a:avLst/>
                    </a:prstGeom>
                    <a:noFill/>
                    <a:ln w="9525">
                      <a:noFill/>
                    </a:ln>
                  </pic:spPr>
                </pic:pic>
              </a:graphicData>
            </a:graphic>
          </wp:inline>
        </w:drawing>
      </w:r>
      <w:r>
        <w:br w:type="textWrapping"/>
      </w:r>
    </w:p>
    <w:p w14:paraId="53E18474">
      <w:pPr>
        <w:pStyle w:val="5"/>
        <w:keepNext w:val="0"/>
        <w:keepLines w:val="0"/>
        <w:widowControl/>
        <w:suppressLineNumbers w:val="0"/>
        <w:spacing w:before="0" w:beforeAutospacing="0" w:after="150" w:afterAutospacing="0"/>
        <w:ind w:left="0" w:right="0"/>
      </w:pPr>
      <w:r>
        <w:rPr>
          <w:rFonts w:hint="eastAsia" w:ascii="黑体" w:hAnsi="宋体" w:eastAsia="黑体" w:cs="黑体"/>
          <w:sz w:val="28"/>
          <w:szCs w:val="28"/>
          <w:shd w:val="clear" w:fill="FFFFFF"/>
        </w:rPr>
        <w:t>合同包2:毛毯</w:t>
      </w:r>
      <w:r>
        <w:rPr>
          <w:rFonts w:hint="eastAsia" w:ascii="宋体" w:hAnsi="宋体" w:eastAsia="宋体" w:cs="宋体"/>
          <w:sz w:val="28"/>
          <w:szCs w:val="28"/>
          <w:shd w:val="clear" w:fill="FFFFFF"/>
        </w:rPr>
        <w:t> </w:t>
      </w:r>
    </w:p>
    <w:p w14:paraId="74DC2B2E">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firstLine="556"/>
        <w:textAlignment w:val="auto"/>
      </w:pPr>
      <w:r>
        <w:rPr>
          <w:rFonts w:hint="eastAsia" w:ascii="宋体" w:hAnsi="宋体" w:eastAsia="宋体" w:cs="宋体"/>
          <w:sz w:val="28"/>
          <w:szCs w:val="28"/>
        </w:rPr>
        <w:t>1、成份含量：羊毛含量≥</w:t>
      </w:r>
      <w:r>
        <w:rPr>
          <w:rFonts w:hint="default" w:ascii="仿宋_GB2312" w:hAnsi="宋体" w:eastAsia="仿宋_GB2312" w:cs="仿宋_GB2312"/>
          <w:sz w:val="28"/>
          <w:szCs w:val="28"/>
        </w:rPr>
        <w:t>30%</w:t>
      </w:r>
      <w:r>
        <w:rPr>
          <w:rFonts w:hint="eastAsia" w:ascii="宋体" w:hAnsi="宋体" w:eastAsia="宋体" w:cs="宋体"/>
          <w:sz w:val="28"/>
          <w:szCs w:val="28"/>
        </w:rPr>
        <w:t>，涤纶≤</w:t>
      </w:r>
      <w:r>
        <w:rPr>
          <w:rFonts w:hint="default" w:ascii="仿宋_GB2312" w:hAnsi="宋体" w:eastAsia="仿宋_GB2312" w:cs="仿宋_GB2312"/>
          <w:sz w:val="28"/>
          <w:szCs w:val="28"/>
        </w:rPr>
        <w:t>70%</w:t>
      </w:r>
      <w:r>
        <w:rPr>
          <w:rFonts w:hint="eastAsia" w:ascii="宋体" w:hAnsi="宋体" w:eastAsia="宋体" w:cs="宋体"/>
          <w:sz w:val="28"/>
          <w:szCs w:val="28"/>
        </w:rPr>
        <w:t>，规格尺寸：</w:t>
      </w:r>
      <w:r>
        <w:rPr>
          <w:rFonts w:hint="default" w:ascii="仿宋_GB2312" w:hAnsi="宋体" w:eastAsia="仿宋_GB2312" w:cs="仿宋_GB2312"/>
          <w:sz w:val="28"/>
          <w:szCs w:val="28"/>
        </w:rPr>
        <w:t>1.5</w:t>
      </w:r>
      <w:r>
        <w:rPr>
          <w:rFonts w:hint="eastAsia" w:ascii="宋体" w:hAnsi="宋体" w:eastAsia="宋体" w:cs="宋体"/>
          <w:sz w:val="28"/>
          <w:szCs w:val="28"/>
        </w:rPr>
        <w:t>米×</w:t>
      </w:r>
      <w:r>
        <w:rPr>
          <w:rFonts w:hint="default" w:ascii="仿宋_GB2312" w:hAnsi="宋体" w:eastAsia="仿宋_GB2312" w:cs="仿宋_GB2312"/>
          <w:sz w:val="28"/>
          <w:szCs w:val="28"/>
        </w:rPr>
        <w:t>2</w:t>
      </w:r>
      <w:r>
        <w:rPr>
          <w:rFonts w:hint="eastAsia" w:ascii="宋体" w:hAnsi="宋体" w:eastAsia="宋体" w:cs="宋体"/>
          <w:sz w:val="28"/>
          <w:szCs w:val="28"/>
        </w:rPr>
        <w:t>米（±</w:t>
      </w:r>
      <w:r>
        <w:rPr>
          <w:rFonts w:hint="default" w:ascii="仿宋_GB2312" w:hAnsi="宋体" w:eastAsia="仿宋_GB2312" w:cs="仿宋_GB2312"/>
          <w:sz w:val="28"/>
          <w:szCs w:val="28"/>
        </w:rPr>
        <w:t>0.02</w:t>
      </w:r>
      <w:r>
        <w:rPr>
          <w:rFonts w:hint="eastAsia" w:ascii="宋体" w:hAnsi="宋体" w:eastAsia="宋体" w:cs="宋体"/>
          <w:sz w:val="28"/>
          <w:szCs w:val="28"/>
        </w:rPr>
        <w:t>米），重量：≥</w:t>
      </w:r>
      <w:r>
        <w:rPr>
          <w:rFonts w:hint="default" w:ascii="仿宋_GB2312" w:hAnsi="宋体" w:eastAsia="仿宋_GB2312" w:cs="仿宋_GB2312"/>
          <w:sz w:val="28"/>
          <w:szCs w:val="28"/>
        </w:rPr>
        <w:t>2kg</w:t>
      </w:r>
      <w:r>
        <w:rPr>
          <w:rFonts w:hint="eastAsia" w:ascii="宋体" w:hAnsi="宋体" w:eastAsia="宋体" w:cs="宋体"/>
          <w:sz w:val="28"/>
          <w:szCs w:val="28"/>
        </w:rPr>
        <w:t>；颜色：草绿色；</w:t>
      </w:r>
    </w:p>
    <w:p w14:paraId="3063189B">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firstLine="556"/>
        <w:textAlignment w:val="auto"/>
      </w:pPr>
      <w:r>
        <w:rPr>
          <w:rFonts w:hint="eastAsia" w:ascii="宋体" w:hAnsi="宋体" w:eastAsia="宋体" w:cs="宋体"/>
          <w:sz w:val="28"/>
          <w:szCs w:val="28"/>
        </w:rPr>
        <w:t>2、外观质量：要求产品整洁美观，四边平直，四角方正，毛面不允许有轧梭痕、补洞痕。</w:t>
      </w:r>
    </w:p>
    <w:p w14:paraId="09C01896">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105" w:right="0" w:firstLine="556"/>
        <w:textAlignment w:val="auto"/>
      </w:pPr>
      <w:r>
        <w:rPr>
          <w:rFonts w:hint="eastAsia" w:ascii="宋体" w:hAnsi="宋体" w:eastAsia="宋体" w:cs="宋体"/>
          <w:sz w:val="28"/>
          <w:szCs w:val="28"/>
        </w:rPr>
        <w:t>3、提供所投产品</w:t>
      </w:r>
      <w:r>
        <w:rPr>
          <w:rFonts w:hint="default" w:ascii="仿宋_GB2312" w:hAnsi="宋体" w:eastAsia="仿宋_GB2312" w:cs="仿宋_GB2312"/>
          <w:sz w:val="28"/>
          <w:szCs w:val="28"/>
        </w:rPr>
        <w:t>2019</w:t>
      </w:r>
      <w:r>
        <w:rPr>
          <w:rFonts w:hint="eastAsia" w:ascii="宋体" w:hAnsi="宋体" w:eastAsia="宋体" w:cs="宋体"/>
          <w:sz w:val="28"/>
          <w:szCs w:val="28"/>
        </w:rPr>
        <w:t>年经省 级及以上检测机构出具的检测报告复印件（加盖公章），原件备查。检测依据为该类产品国家标准中GB 18401-2010(B类</w:t>
      </w:r>
      <w:r>
        <w:rPr>
          <w:rFonts w:hint="default" w:ascii="仿宋_GB2312" w:hAnsi="宋体" w:eastAsia="仿宋_GB2312" w:cs="仿宋_GB2312"/>
          <w:sz w:val="28"/>
          <w:szCs w:val="28"/>
        </w:rPr>
        <w:t>)</w:t>
      </w:r>
      <w:r>
        <w:rPr>
          <w:rFonts w:hint="eastAsia" w:ascii="宋体" w:hAnsi="宋体" w:eastAsia="宋体" w:cs="宋体"/>
          <w:sz w:val="28"/>
          <w:szCs w:val="28"/>
        </w:rPr>
        <w:t>， </w:t>
      </w:r>
      <w:r>
        <w:rPr>
          <w:rFonts w:hint="default" w:ascii="仿宋_GB2312" w:hAnsi="宋体" w:eastAsia="仿宋_GB2312" w:cs="仿宋_GB2312"/>
          <w:sz w:val="28"/>
          <w:szCs w:val="28"/>
        </w:rPr>
        <w:t>FZ/T61001-2006</w:t>
      </w:r>
      <w:r>
        <w:rPr>
          <w:rFonts w:hint="eastAsia" w:ascii="宋体" w:hAnsi="宋体" w:eastAsia="宋体" w:cs="宋体"/>
          <w:sz w:val="28"/>
          <w:szCs w:val="28"/>
        </w:rPr>
        <w:t>（一等品）及招标文件有关要求。检测项目必须有：纤维含量、耐干摩擦色牢度、耐湿摩擦色牢度、耐水色牢度、异味、</w:t>
      </w:r>
      <w:r>
        <w:rPr>
          <w:rFonts w:hint="default" w:ascii="仿宋_GB2312" w:hAnsi="宋体" w:eastAsia="仿宋_GB2312" w:cs="仿宋_GB2312"/>
          <w:sz w:val="28"/>
          <w:szCs w:val="28"/>
        </w:rPr>
        <w:t>PH</w:t>
      </w:r>
      <w:r>
        <w:rPr>
          <w:rFonts w:hint="eastAsia" w:ascii="宋体" w:hAnsi="宋体" w:eastAsia="宋体" w:cs="宋体"/>
          <w:sz w:val="28"/>
          <w:szCs w:val="28"/>
        </w:rPr>
        <w:t>值、甲醛含量、重量、断裂强力、可分解致癌芳香胺染料、外观质量。未提供检测报告或检测报告内的检测项目未达到招标文件要求的，视为投标无效。</w:t>
      </w:r>
    </w:p>
    <w:p w14:paraId="72EC2F4F">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firstLine="556"/>
        <w:textAlignment w:val="auto"/>
      </w:pPr>
      <w:r>
        <w:rPr>
          <w:rFonts w:hint="eastAsia" w:ascii="宋体" w:hAnsi="宋体" w:eastAsia="宋体" w:cs="宋体"/>
          <w:sz w:val="28"/>
          <w:szCs w:val="28"/>
        </w:rPr>
        <w:t>4、包装：每</w:t>
      </w:r>
      <w:r>
        <w:rPr>
          <w:rFonts w:hint="default" w:ascii="仿宋_GB2312" w:hAnsi="宋体" w:eastAsia="仿宋_GB2312" w:cs="仿宋_GB2312"/>
          <w:sz w:val="28"/>
          <w:szCs w:val="28"/>
        </w:rPr>
        <w:t>10</w:t>
      </w:r>
      <w:r>
        <w:rPr>
          <w:rFonts w:hint="eastAsia" w:ascii="宋体" w:hAnsi="宋体" w:eastAsia="宋体" w:cs="宋体"/>
          <w:sz w:val="28"/>
          <w:szCs w:val="28"/>
        </w:rPr>
        <w:t>床装</w:t>
      </w:r>
      <w:r>
        <w:rPr>
          <w:rFonts w:hint="default" w:ascii="仿宋_GB2312" w:hAnsi="宋体" w:eastAsia="仿宋_GB2312" w:cs="仿宋_GB2312"/>
          <w:sz w:val="28"/>
          <w:szCs w:val="28"/>
        </w:rPr>
        <w:t>1</w:t>
      </w:r>
      <w:r>
        <w:rPr>
          <w:rFonts w:hint="eastAsia" w:ascii="宋体" w:hAnsi="宋体" w:eastAsia="宋体" w:cs="宋体"/>
          <w:sz w:val="28"/>
          <w:szCs w:val="28"/>
        </w:rPr>
        <w:t>箱，每床毛毯装入单独的塑料袋内。</w:t>
      </w:r>
    </w:p>
    <w:p w14:paraId="18B85485">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firstLine="556"/>
        <w:textAlignment w:val="auto"/>
      </w:pPr>
      <w:r>
        <w:rPr>
          <w:rFonts w:hint="eastAsia" w:ascii="宋体" w:hAnsi="宋体" w:eastAsia="宋体" w:cs="宋体"/>
          <w:sz w:val="28"/>
          <w:szCs w:val="28"/>
        </w:rPr>
        <w:t>5、样品要求：毛毯、包装【塑料袋、纸箱截片（长、宽≥</w:t>
      </w:r>
      <w:r>
        <w:rPr>
          <w:rFonts w:hint="default" w:ascii="仿宋_GB2312" w:hAnsi="宋体" w:eastAsia="仿宋_GB2312" w:cs="仿宋_GB2312"/>
          <w:sz w:val="28"/>
          <w:szCs w:val="28"/>
        </w:rPr>
        <w:t>10cm</w:t>
      </w:r>
      <w:r>
        <w:rPr>
          <w:rFonts w:hint="eastAsia" w:ascii="宋体" w:hAnsi="宋体" w:eastAsia="宋体" w:cs="宋体"/>
          <w:sz w:val="28"/>
          <w:szCs w:val="28"/>
        </w:rPr>
        <w:t>）、打包带（长度≥</w:t>
      </w:r>
      <w:r>
        <w:rPr>
          <w:rFonts w:hint="default" w:ascii="仿宋_GB2312" w:hAnsi="宋体" w:eastAsia="仿宋_GB2312" w:cs="仿宋_GB2312"/>
          <w:sz w:val="28"/>
          <w:szCs w:val="28"/>
        </w:rPr>
        <w:t>10cm</w:t>
      </w:r>
      <w:r>
        <w:rPr>
          <w:rFonts w:hint="eastAsia" w:ascii="宋体" w:hAnsi="宋体" w:eastAsia="宋体" w:cs="宋体"/>
          <w:sz w:val="28"/>
          <w:szCs w:val="28"/>
        </w:rPr>
        <w:t>）】。未提供样品视为投标无效。</w:t>
      </w:r>
    </w:p>
    <w:p w14:paraId="2E377D70">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firstLine="555"/>
        <w:textAlignment w:val="auto"/>
      </w:pPr>
      <w:r>
        <w:rPr>
          <w:rFonts w:hint="eastAsia" w:ascii="宋体" w:hAnsi="宋体" w:eastAsia="宋体" w:cs="宋体"/>
          <w:sz w:val="28"/>
          <w:szCs w:val="28"/>
        </w:rPr>
        <w:t>6、包装印刷及其他要求：</w:t>
      </w:r>
    </w:p>
    <w:p w14:paraId="5FB8A432">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textAlignment w:val="auto"/>
      </w:pPr>
      <w:r>
        <w:rPr>
          <w:rFonts w:hint="eastAsia" w:ascii="宋体" w:hAnsi="宋体" w:eastAsia="宋体" w:cs="宋体"/>
          <w:sz w:val="28"/>
          <w:szCs w:val="28"/>
        </w:rPr>
        <w:t>    （1）纸箱外两侧面均印刷黑色的产品名 称、数量、质量、体积、生产年月、型号、承制单位名 称。其中产品名 称、承制单位名 称为黑体字，其他为宋体字。产品名 称前加“救灾”二字且字体宽度为</w:t>
      </w:r>
      <w:r>
        <w:rPr>
          <w:rFonts w:hint="default" w:ascii="仿宋_GB2312" w:hAnsi="宋体" w:eastAsia="仿宋_GB2312" w:cs="仿宋_GB2312"/>
          <w:sz w:val="28"/>
          <w:szCs w:val="28"/>
        </w:rPr>
        <w:t>60mm</w:t>
      </w:r>
      <w:r>
        <w:rPr>
          <w:rFonts w:hint="eastAsia" w:ascii="宋体" w:hAnsi="宋体" w:eastAsia="宋体" w:cs="宋体"/>
          <w:sz w:val="28"/>
          <w:szCs w:val="28"/>
        </w:rPr>
        <w:t>，其他字体宽度为</w:t>
      </w:r>
      <w:r>
        <w:rPr>
          <w:rFonts w:hint="default" w:ascii="仿宋_GB2312" w:hAnsi="宋体" w:eastAsia="仿宋_GB2312" w:cs="仿宋_GB2312"/>
          <w:sz w:val="28"/>
          <w:szCs w:val="28"/>
        </w:rPr>
        <w:t>35mm</w:t>
      </w:r>
      <w:r>
        <w:rPr>
          <w:rFonts w:hint="eastAsia" w:ascii="宋体" w:hAnsi="宋体" w:eastAsia="宋体" w:cs="宋体"/>
          <w:sz w:val="28"/>
          <w:szCs w:val="28"/>
        </w:rPr>
        <w:t>，承制单位名 称字体大小可根据单位名 称字数酌情选择，参 考图见《图</w:t>
      </w:r>
      <w:r>
        <w:rPr>
          <w:rFonts w:hint="default" w:ascii="仿宋_GB2312" w:hAnsi="宋体" w:eastAsia="仿宋_GB2312" w:cs="仿宋_GB2312"/>
          <w:sz w:val="28"/>
          <w:szCs w:val="28"/>
        </w:rPr>
        <w:t>1</w:t>
      </w:r>
      <w:r>
        <w:rPr>
          <w:rFonts w:hint="eastAsia" w:ascii="宋体" w:hAnsi="宋体" w:eastAsia="宋体" w:cs="宋体"/>
          <w:sz w:val="28"/>
          <w:szCs w:val="28"/>
        </w:rPr>
        <w:t>：外包装印刷示意图》。</w:t>
      </w:r>
    </w:p>
    <w:p w14:paraId="44D20ABC">
      <w:pPr>
        <w:pStyle w:val="5"/>
        <w:keepNext w:val="0"/>
        <w:keepLines w:val="0"/>
        <w:widowControl/>
        <w:suppressLineNumbers w:val="0"/>
        <w:spacing w:before="0" w:beforeAutospacing="0" w:after="150" w:afterAutospacing="0"/>
        <w:ind w:left="0" w:right="0"/>
        <w:jc w:val="center"/>
      </w:pPr>
      <w:r>
        <w:drawing>
          <wp:inline distT="0" distB="0" distL="114300" distR="114300">
            <wp:extent cx="4038600" cy="2038350"/>
            <wp:effectExtent l="0" t="0" r="0" b="0"/>
            <wp:docPr id="2" name="图片 4" descr="1562144127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1562144127343.png"/>
                    <pic:cNvPicPr>
                      <a:picLocks noChangeAspect="1"/>
                    </pic:cNvPicPr>
                  </pic:nvPicPr>
                  <pic:blipFill>
                    <a:blip r:embed="rId5"/>
                    <a:stretch>
                      <a:fillRect/>
                    </a:stretch>
                  </pic:blipFill>
                  <pic:spPr>
                    <a:xfrm>
                      <a:off x="0" y="0"/>
                      <a:ext cx="4038600" cy="2038350"/>
                    </a:xfrm>
                    <a:prstGeom prst="rect">
                      <a:avLst/>
                    </a:prstGeom>
                    <a:noFill/>
                    <a:ln w="9525">
                      <a:noFill/>
                    </a:ln>
                  </pic:spPr>
                </pic:pic>
              </a:graphicData>
            </a:graphic>
          </wp:inline>
        </w:drawing>
      </w:r>
    </w:p>
    <w:p w14:paraId="173E145F">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textAlignment w:val="auto"/>
      </w:pPr>
      <w:r>
        <w:rPr>
          <w:rFonts w:hint="eastAsia" w:ascii="宋体" w:hAnsi="宋体" w:eastAsia="宋体" w:cs="宋体"/>
          <w:sz w:val="28"/>
          <w:szCs w:val="28"/>
        </w:rPr>
        <w:t>    （2）纸箱两侧面距封口8cm处需各贴1个超高频电子标签（每纸箱贴2个）。电子标签为纸质超高频电子标签，长度为100mm，宽度为50mm。电子标签编码规则在合同签订后由采购人提供，空白电子标签由中标人采购，电子标签打印采购人可协助，电子标签需由中标人在物资卸货时负责粘贴。中标人应严格按照要求粘贴电子标签，保证电子标签平整、美观、无损坏。电子标签采购、打印、粘贴等产生的费用由中标人承担，计入中标价。电子标签参 考图见《图2：电子标签示意图》。</w:t>
      </w:r>
    </w:p>
    <w:p w14:paraId="0C5D5383">
      <w:pPr>
        <w:pStyle w:val="5"/>
        <w:keepNext w:val="0"/>
        <w:keepLines w:val="0"/>
        <w:widowControl/>
        <w:suppressLineNumbers w:val="0"/>
        <w:spacing w:before="0" w:beforeAutospacing="0" w:after="150" w:afterAutospacing="0"/>
        <w:ind w:left="0" w:right="0"/>
        <w:jc w:val="center"/>
      </w:pPr>
      <w:r>
        <w:drawing>
          <wp:inline distT="0" distB="0" distL="114300" distR="114300">
            <wp:extent cx="4210050" cy="2324100"/>
            <wp:effectExtent l="0" t="0" r="0" b="0"/>
            <wp:docPr id="1" name="图片 5" descr="1562144271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1562144271105.png"/>
                    <pic:cNvPicPr>
                      <a:picLocks noChangeAspect="1"/>
                    </pic:cNvPicPr>
                  </pic:nvPicPr>
                  <pic:blipFill>
                    <a:blip r:embed="rId6"/>
                    <a:stretch>
                      <a:fillRect/>
                    </a:stretch>
                  </pic:blipFill>
                  <pic:spPr>
                    <a:xfrm>
                      <a:off x="0" y="0"/>
                      <a:ext cx="4210050" cy="2324100"/>
                    </a:xfrm>
                    <a:prstGeom prst="rect">
                      <a:avLst/>
                    </a:prstGeom>
                    <a:noFill/>
                    <a:ln w="9525">
                      <a:noFill/>
                    </a:ln>
                  </pic:spPr>
                </pic:pic>
              </a:graphicData>
            </a:graphic>
          </wp:inline>
        </w:drawing>
      </w:r>
    </w:p>
    <w:p w14:paraId="0BF783D5">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pPr>
      <w:r>
        <w:rPr>
          <w:rFonts w:hint="eastAsia" w:ascii="宋体" w:hAnsi="宋体" w:eastAsia="宋体" w:cs="宋体"/>
          <w:sz w:val="28"/>
          <w:szCs w:val="28"/>
        </w:rPr>
        <w:t>    （3）纸箱为双瓦楞纸，箱外需打井字型打包带，便于搬运。</w:t>
      </w:r>
    </w:p>
    <w:p w14:paraId="250D5B9F">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textAlignment w:val="auto"/>
      </w:pPr>
      <w:r>
        <w:rPr>
          <w:rFonts w:hint="eastAsia" w:ascii="宋体" w:hAnsi="宋体" w:eastAsia="宋体" w:cs="宋体"/>
          <w:sz w:val="28"/>
          <w:szCs w:val="28"/>
        </w:rPr>
        <w:t>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（4）每个纸箱内需附产品检验单一张，检验单样式见《图3 检验单》。其中“检验单”、“产品名 称”、“品等”、“生产日期”、“检验人员”和“承制单位名 称”标题为黑体字，其他为宋体字。检验单尺寸为B5纸的1/4。字体大小适宜。</w:t>
      </w:r>
    </w:p>
    <w:p w14:paraId="4AA65AB3">
      <w:pPr>
        <w:pStyle w:val="5"/>
        <w:keepNext w:val="0"/>
        <w:keepLines w:val="0"/>
        <w:widowControl/>
        <w:suppressLineNumbers w:val="0"/>
        <w:spacing w:before="0" w:beforeAutospacing="0" w:after="150" w:afterAutospacing="0"/>
        <w:ind w:left="0" w:right="0"/>
        <w:jc w:val="center"/>
      </w:pPr>
      <w:r>
        <w:drawing>
          <wp:inline distT="0" distB="0" distL="114300" distR="114300">
            <wp:extent cx="4653280" cy="2418715"/>
            <wp:effectExtent l="0" t="0" r="13970" b="635"/>
            <wp:docPr id="6" name="图片 6" descr="1562144295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62144295222.png"/>
                    <pic:cNvPicPr>
                      <a:picLocks noChangeAspect="1"/>
                    </pic:cNvPicPr>
                  </pic:nvPicPr>
                  <pic:blipFill>
                    <a:blip r:embed="rId7"/>
                    <a:stretch>
                      <a:fillRect/>
                    </a:stretch>
                  </pic:blipFill>
                  <pic:spPr>
                    <a:xfrm>
                      <a:off x="0" y="0"/>
                      <a:ext cx="4653280" cy="2418715"/>
                    </a:xfrm>
                    <a:prstGeom prst="rect">
                      <a:avLst/>
                    </a:prstGeom>
                    <a:noFill/>
                    <a:ln w="9525">
                      <a:noFill/>
                    </a:ln>
                  </pic:spPr>
                </pic:pic>
              </a:graphicData>
            </a:graphic>
          </wp:inline>
        </w:drawing>
      </w:r>
      <w:r>
        <w:br w:type="textWrapping"/>
      </w:r>
    </w:p>
    <w:p w14:paraId="23212C14">
      <w:pPr>
        <w:pStyle w:val="5"/>
        <w:keepNext w:val="0"/>
        <w:keepLines w:val="0"/>
        <w:widowControl/>
        <w:suppressLineNumbers w:val="0"/>
        <w:spacing w:before="0" w:beforeAutospacing="0" w:after="150" w:afterAutospacing="0"/>
        <w:ind w:left="0" w:right="0"/>
      </w:pPr>
      <w:r>
        <w:rPr>
          <w:rFonts w:hint="eastAsia" w:ascii="黑体" w:hAnsi="宋体" w:eastAsia="黑体" w:cs="黑体"/>
          <w:sz w:val="28"/>
          <w:szCs w:val="28"/>
        </w:rPr>
        <w:t>合同包</w:t>
      </w:r>
      <w:r>
        <w:rPr>
          <w:rFonts w:hint="eastAsia" w:ascii="黑体" w:hAnsi="宋体" w:eastAsia="黑体" w:cs="黑体"/>
          <w:sz w:val="28"/>
          <w:szCs w:val="28"/>
          <w:shd w:val="clear" w:fill="FFFFFF"/>
        </w:rPr>
        <w:t>3：羽绒服</w:t>
      </w:r>
    </w:p>
    <w:p w14:paraId="78044482">
      <w:pPr>
        <w:pStyle w:val="5"/>
        <w:keepNext w:val="0"/>
        <w:keepLines w:val="0"/>
        <w:widowControl/>
        <w:suppressLineNumbers w:val="0"/>
        <w:spacing w:before="0" w:beforeAutospacing="0" w:after="150" w:afterAutospacing="0"/>
        <w:ind w:left="0" w:right="0" w:firstLine="840" w:firstLineChars="300"/>
      </w:pPr>
      <w:r>
        <w:rPr>
          <w:rFonts w:hint="eastAsia" w:ascii="宋体" w:hAnsi="宋体" w:eastAsia="宋体" w:cs="宋体"/>
          <w:sz w:val="28"/>
          <w:szCs w:val="28"/>
        </w:rPr>
        <w:t>1、基本参数：羽绒服：鸭绒大衣；面料：100%涤纶布（藏青色），(30D\360T)；里料：100%涤纶格子布；胆布：100%涤纶过胶胆布；填充物：灰鸭绒；充绒量: ≥145g；含绒量：≥80%；等级：合格品；款式：羽绒服连体帽子含抽绳，2个侧口袋含拉链（参 考图1）；型号：根据采购方要求在采购合同中约定。</w:t>
      </w:r>
    </w:p>
    <w:p w14:paraId="20209B5B">
      <w:pPr>
        <w:pStyle w:val="5"/>
        <w:keepNext w:val="0"/>
        <w:keepLines w:val="0"/>
        <w:widowControl/>
        <w:suppressLineNumbers w:val="0"/>
        <w:spacing w:before="0" w:beforeAutospacing="0" w:after="150" w:afterAutospacing="0"/>
        <w:ind w:left="0" w:right="0"/>
        <w:jc w:val="center"/>
      </w:pPr>
      <w:r>
        <w:drawing>
          <wp:inline distT="0" distB="0" distL="114300" distR="114300">
            <wp:extent cx="2314575" cy="2743200"/>
            <wp:effectExtent l="0" t="0" r="9525" b="0"/>
            <wp:docPr id="7" name="图片 7" descr="1562144331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62144331866.png"/>
                    <pic:cNvPicPr>
                      <a:picLocks noChangeAspect="1"/>
                    </pic:cNvPicPr>
                  </pic:nvPicPr>
                  <pic:blipFill>
                    <a:blip r:embed="rId8"/>
                    <a:stretch>
                      <a:fillRect/>
                    </a:stretch>
                  </pic:blipFill>
                  <pic:spPr>
                    <a:xfrm>
                      <a:off x="0" y="0"/>
                      <a:ext cx="2314575" cy="2743200"/>
                    </a:xfrm>
                    <a:prstGeom prst="rect">
                      <a:avLst/>
                    </a:prstGeom>
                    <a:noFill/>
                    <a:ln w="9525">
                      <a:noFill/>
                    </a:ln>
                  </pic:spPr>
                </pic:pic>
              </a:graphicData>
            </a:graphic>
          </wp:inline>
        </w:drawing>
      </w:r>
    </w:p>
    <w:p w14:paraId="29CC7DD4">
      <w:pPr>
        <w:pStyle w:val="5"/>
        <w:keepNext w:val="0"/>
        <w:keepLines w:val="0"/>
        <w:widowControl/>
        <w:suppressLineNumbers w:val="0"/>
        <w:spacing w:before="0" w:beforeAutospacing="0" w:after="0" w:afterAutospacing="0"/>
        <w:ind w:left="0" w:right="0" w:firstLine="840" w:firstLineChars="300"/>
        <w:rPr>
          <w:rFonts w:hint="eastAsia" w:ascii="宋体" w:hAnsi="宋体" w:eastAsia="宋体" w:cs="宋体"/>
          <w:sz w:val="28"/>
          <w:szCs w:val="28"/>
        </w:rPr>
      </w:pPr>
      <w:r>
        <w:rPr>
          <w:rFonts w:hint="eastAsia" w:ascii="宋体" w:hAnsi="宋体" w:eastAsia="宋体" w:cs="宋体"/>
          <w:sz w:val="28"/>
          <w:szCs w:val="28"/>
        </w:rPr>
        <w:t>2、提供所投产品2019年经省 级及以上检测机构出具的检测报告复印件（加盖公章），原件备查。检测依据为该类产品国家标准中GB/T14272-2011(合格品)、GB 18401-2010(B类)及招标文件有关要求。检测项目必须有：纤维含量（胆布、里料、面料）、清洁度、PH值、甲醛含量、羽绒种类、充绒量、含绒量、蓬松度、气味。未提供检测报告或检测报告内的检测项目未达到招标文件要求的，视为投标无效。</w:t>
      </w:r>
      <w:r>
        <w:rPr>
          <w:rFonts w:hint="eastAsia" w:ascii="宋体" w:hAnsi="宋体" w:eastAsia="宋体" w:cs="宋体"/>
          <w:sz w:val="28"/>
          <w:szCs w:val="28"/>
        </w:rPr>
        <w:br w:type="textWrapping"/>
      </w:r>
      <w:r>
        <w:rPr>
          <w:rFonts w:hint="eastAsia" w:ascii="宋体" w:hAnsi="宋体" w:eastAsia="宋体" w:cs="宋体"/>
          <w:sz w:val="28"/>
          <w:szCs w:val="28"/>
        </w:rPr>
        <w:t>   </w:t>
      </w:r>
    </w:p>
    <w:p w14:paraId="6F8BCE13">
      <w:pPr>
        <w:pStyle w:val="5"/>
        <w:keepNext w:val="0"/>
        <w:keepLines w:val="0"/>
        <w:widowControl/>
        <w:suppressLineNumbers w:val="0"/>
        <w:spacing w:before="0" w:beforeAutospacing="0" w:after="0" w:afterAutospacing="0"/>
        <w:ind w:left="0" w:right="0" w:firstLine="840" w:firstLineChars="300"/>
      </w:pPr>
      <w:r>
        <w:rPr>
          <w:rFonts w:hint="eastAsia" w:ascii="宋体" w:hAnsi="宋体" w:eastAsia="宋体" w:cs="宋体"/>
          <w:sz w:val="28"/>
          <w:szCs w:val="28"/>
        </w:rPr>
        <w:t xml:space="preserve"> 3、包装：每20件装1箱，每件羽绒服装入单独的塑料袋内。</w:t>
      </w:r>
      <w:r>
        <w:rPr>
          <w:rFonts w:hint="eastAsia" w:ascii="宋体" w:hAnsi="宋体" w:eastAsia="宋体" w:cs="宋体"/>
          <w:sz w:val="28"/>
          <w:szCs w:val="28"/>
        </w:rPr>
        <w:br w:type="textWrapping"/>
      </w:r>
      <w:r>
        <w:rPr>
          <w:rFonts w:hint="eastAsia" w:ascii="宋体" w:hAnsi="宋体" w:eastAsia="宋体" w:cs="宋体"/>
          <w:sz w:val="28"/>
          <w:szCs w:val="28"/>
        </w:rPr>
        <w:t>    4、样品要求：羽绒服、包装【塑料袋、纸箱截片（长、宽≥10cm）、打包带（长度≥10cm）】。未提供样品视为投标无效。</w:t>
      </w:r>
      <w:r>
        <w:rPr>
          <w:rFonts w:hint="eastAsia" w:ascii="宋体" w:hAnsi="宋体" w:eastAsia="宋体" w:cs="宋体"/>
          <w:sz w:val="28"/>
          <w:szCs w:val="28"/>
        </w:rPr>
        <w:br w:type="textWrapping"/>
      </w:r>
      <w:r>
        <w:rPr>
          <w:rFonts w:hint="eastAsia" w:ascii="宋体" w:hAnsi="宋体" w:eastAsia="宋体" w:cs="宋体"/>
          <w:sz w:val="28"/>
          <w:szCs w:val="28"/>
        </w:rPr>
        <w:t>    5、包装印刷及其他要求：</w:t>
      </w:r>
    </w:p>
    <w:p w14:paraId="4A113B5F">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    （1）纸箱外两侧面均印刷黑色的产品名 称、数量、质量、体积、生产年月、型号、承制单位名 称。其中产品名 称、承制单位名 称为黑体字，其他为宋体字。产品名 称前加“救灾”二字且字体宽度为60mm，其他字体宽度为35mm，承制单位名 称字体大小可根据单位名 称字数酌情选择，参 考图见《图1：外包装印刷示意图》。</w:t>
      </w:r>
    </w:p>
    <w:p w14:paraId="1E177691">
      <w:pPr>
        <w:pStyle w:val="5"/>
        <w:keepNext w:val="0"/>
        <w:keepLines w:val="0"/>
        <w:widowControl/>
        <w:suppressLineNumbers w:val="0"/>
        <w:spacing w:before="0" w:beforeAutospacing="0" w:after="150" w:afterAutospacing="0"/>
        <w:ind w:left="0" w:right="0"/>
        <w:jc w:val="center"/>
      </w:pPr>
      <w:r>
        <w:drawing>
          <wp:inline distT="0" distB="0" distL="114300" distR="114300">
            <wp:extent cx="4038600" cy="2943225"/>
            <wp:effectExtent l="0" t="0" r="0" b="9525"/>
            <wp:docPr id="8" name="图片 8" descr="156214438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62144381729.png"/>
                    <pic:cNvPicPr>
                      <a:picLocks noChangeAspect="1"/>
                    </pic:cNvPicPr>
                  </pic:nvPicPr>
                  <pic:blipFill>
                    <a:blip r:embed="rId5"/>
                    <a:stretch>
                      <a:fillRect/>
                    </a:stretch>
                  </pic:blipFill>
                  <pic:spPr>
                    <a:xfrm>
                      <a:off x="0" y="0"/>
                      <a:ext cx="4038600" cy="2943225"/>
                    </a:xfrm>
                    <a:prstGeom prst="rect">
                      <a:avLst/>
                    </a:prstGeom>
                    <a:noFill/>
                    <a:ln w="9525">
                      <a:noFill/>
                    </a:ln>
                  </pic:spPr>
                </pic:pic>
              </a:graphicData>
            </a:graphic>
          </wp:inline>
        </w:drawing>
      </w:r>
    </w:p>
    <w:p w14:paraId="5066A6C8">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    （2）纸箱两侧面距封口8cm处需各贴1个超高频电子标签（每纸箱贴2个）。电子标签为纸质超高频电子标签，长度为100mm，宽度为50mm。电子标签编码规则在合同签订后由采购人提供，空白电子标签由中标人采购，电子标签打印采购人可协助，电子标签需由中标人在物资卸货时负责粘贴。中标人应严格按照要求粘贴电子标签，保证电子标签平整、美观、无损坏。电子标签采购、打印、粘贴等产生的费用由中标人承担，计入中标价。电子标签参 考图见《图2：电子标签示意图》。</w:t>
      </w:r>
    </w:p>
    <w:p w14:paraId="3F16E527">
      <w:pPr>
        <w:pStyle w:val="5"/>
        <w:keepNext w:val="0"/>
        <w:keepLines w:val="0"/>
        <w:widowControl/>
        <w:suppressLineNumbers w:val="0"/>
        <w:spacing w:before="0" w:beforeAutospacing="0" w:after="150" w:afterAutospacing="0"/>
        <w:ind w:left="0" w:right="0"/>
        <w:jc w:val="center"/>
      </w:pPr>
      <w:r>
        <w:drawing>
          <wp:inline distT="0" distB="0" distL="114300" distR="114300">
            <wp:extent cx="4210050" cy="2324100"/>
            <wp:effectExtent l="0" t="0" r="0" b="0"/>
            <wp:docPr id="9" name="图片 9" descr="1562144417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62144417495.png"/>
                    <pic:cNvPicPr>
                      <a:picLocks noChangeAspect="1"/>
                    </pic:cNvPicPr>
                  </pic:nvPicPr>
                  <pic:blipFill>
                    <a:blip r:embed="rId6"/>
                    <a:stretch>
                      <a:fillRect/>
                    </a:stretch>
                  </pic:blipFill>
                  <pic:spPr>
                    <a:xfrm>
                      <a:off x="0" y="0"/>
                      <a:ext cx="4210050" cy="2324100"/>
                    </a:xfrm>
                    <a:prstGeom prst="rect">
                      <a:avLst/>
                    </a:prstGeom>
                    <a:noFill/>
                    <a:ln w="9525">
                      <a:noFill/>
                    </a:ln>
                  </pic:spPr>
                </pic:pic>
              </a:graphicData>
            </a:graphic>
          </wp:inline>
        </w:drawing>
      </w:r>
    </w:p>
    <w:p w14:paraId="63AB7B4B">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    （3）纸箱为双瓦楞纸，箱外需打井字型打包带，便于搬运。</w:t>
      </w:r>
      <w:r>
        <w:rPr>
          <w:rFonts w:hint="eastAsia" w:ascii="宋体" w:hAnsi="宋体" w:eastAsia="宋体" w:cs="宋体"/>
          <w:sz w:val="28"/>
          <w:szCs w:val="28"/>
        </w:rPr>
        <w:br w:type="textWrapping"/>
      </w:r>
      <w:r>
        <w:rPr>
          <w:rFonts w:hint="eastAsia" w:ascii="宋体" w:hAnsi="宋体" w:eastAsia="宋体" w:cs="宋体"/>
          <w:sz w:val="28"/>
          <w:szCs w:val="28"/>
        </w:rPr>
        <w:t>    （4）每个纸箱内需附产品检验单一张，检验单样式见《图3 检验单》。其中“检验单”、“产品名 称”、“品等”、“生产日期”、“检验人员”和“承制单位名 称”标题为黑体字，其他为宋体字。检验单尺寸为B5纸的1/4。字体大小适宜。</w:t>
      </w:r>
    </w:p>
    <w:p w14:paraId="30C2FEC1">
      <w:pPr>
        <w:pStyle w:val="5"/>
        <w:keepNext w:val="0"/>
        <w:keepLines w:val="0"/>
        <w:widowControl/>
        <w:suppressLineNumbers w:val="0"/>
        <w:spacing w:before="0" w:beforeAutospacing="0" w:after="150" w:afterAutospacing="0"/>
        <w:ind w:left="0" w:right="0"/>
        <w:jc w:val="center"/>
      </w:pPr>
      <w:r>
        <w:drawing>
          <wp:inline distT="0" distB="0" distL="114300" distR="114300">
            <wp:extent cx="3362325" cy="2019300"/>
            <wp:effectExtent l="0" t="0" r="9525" b="0"/>
            <wp:docPr id="10" name="图片 10" descr="1562144447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62144447451.png"/>
                    <pic:cNvPicPr>
                      <a:picLocks noChangeAspect="1"/>
                    </pic:cNvPicPr>
                  </pic:nvPicPr>
                  <pic:blipFill>
                    <a:blip r:embed="rId9"/>
                    <a:stretch>
                      <a:fillRect/>
                    </a:stretch>
                  </pic:blipFill>
                  <pic:spPr>
                    <a:xfrm>
                      <a:off x="0" y="0"/>
                      <a:ext cx="3362325" cy="2019300"/>
                    </a:xfrm>
                    <a:prstGeom prst="rect">
                      <a:avLst/>
                    </a:prstGeom>
                    <a:noFill/>
                    <a:ln w="9525">
                      <a:noFill/>
                    </a:ln>
                  </pic:spPr>
                </pic:pic>
              </a:graphicData>
            </a:graphic>
          </wp:inline>
        </w:drawing>
      </w:r>
      <w:r>
        <w:br w:type="textWrapping"/>
      </w:r>
      <w:r>
        <w:br w:type="textWrapping"/>
      </w:r>
    </w:p>
    <w:p w14:paraId="68C6E6F6">
      <w:pPr>
        <w:pStyle w:val="5"/>
        <w:keepNext w:val="0"/>
        <w:keepLines w:val="0"/>
        <w:widowControl/>
        <w:suppressLineNumbers w:val="0"/>
        <w:spacing w:before="0" w:beforeAutospacing="0" w:after="150" w:afterAutospacing="0"/>
        <w:ind w:left="0" w:right="0"/>
        <w:rPr>
          <w:rFonts w:hint="eastAsia" w:ascii="黑体" w:hAnsi="宋体" w:eastAsia="黑体" w:cs="黑体"/>
          <w:sz w:val="28"/>
          <w:szCs w:val="28"/>
          <w:shd w:val="clear" w:fill="FFFFFF"/>
        </w:rPr>
      </w:pPr>
    </w:p>
    <w:p w14:paraId="6D4730CB">
      <w:pPr>
        <w:pStyle w:val="5"/>
        <w:keepNext w:val="0"/>
        <w:keepLines w:val="0"/>
        <w:widowControl/>
        <w:suppressLineNumbers w:val="0"/>
        <w:spacing w:before="0" w:beforeAutospacing="0" w:after="150" w:afterAutospacing="0"/>
        <w:ind w:left="0" w:right="0"/>
      </w:pPr>
      <w:r>
        <w:rPr>
          <w:rFonts w:hint="eastAsia" w:ascii="黑体" w:hAnsi="宋体" w:eastAsia="黑体" w:cs="黑体"/>
          <w:sz w:val="28"/>
          <w:szCs w:val="28"/>
          <w:shd w:val="clear" w:fill="FFFFFF"/>
        </w:rPr>
        <w:t>合同包4:取暖器</w:t>
      </w:r>
      <w:r>
        <w:rPr>
          <w:rFonts w:hint="eastAsia" w:ascii="宋体" w:hAnsi="宋体" w:eastAsia="宋体" w:cs="宋体"/>
          <w:sz w:val="28"/>
          <w:szCs w:val="28"/>
          <w:shd w:val="clear" w:fill="FFFFFF"/>
        </w:rPr>
        <w:t> </w:t>
      </w:r>
    </w:p>
    <w:p w14:paraId="19487482">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textAlignment w:val="auto"/>
      </w:pPr>
      <w:r>
        <w:rPr>
          <w:rFonts w:hint="eastAsia" w:ascii="宋体" w:hAnsi="宋体" w:eastAsia="宋体" w:cs="宋体"/>
          <w:sz w:val="28"/>
          <w:szCs w:val="28"/>
        </w:rPr>
        <w:t>基本参数：</w:t>
      </w:r>
      <w:r>
        <w:rPr>
          <w:rFonts w:hint="eastAsia" w:ascii="宋体" w:hAnsi="宋体" w:eastAsia="宋体" w:cs="宋体"/>
          <w:sz w:val="28"/>
          <w:szCs w:val="28"/>
        </w:rPr>
        <w:br w:type="textWrapping"/>
      </w:r>
      <w:r>
        <w:rPr>
          <w:rFonts w:hint="eastAsia" w:ascii="宋体" w:hAnsi="宋体" w:eastAsia="宋体" w:cs="宋体"/>
          <w:sz w:val="28"/>
          <w:szCs w:val="28"/>
        </w:rPr>
        <w:t>    1.1类型：PTC陶瓷暖风机。</w:t>
      </w:r>
      <w:r>
        <w:rPr>
          <w:rFonts w:hint="eastAsia" w:ascii="宋体" w:hAnsi="宋体" w:eastAsia="宋体" w:cs="宋体"/>
          <w:sz w:val="28"/>
          <w:szCs w:val="28"/>
        </w:rPr>
        <w:br w:type="textWrapping"/>
      </w:r>
      <w:r>
        <w:rPr>
          <w:rFonts w:hint="eastAsia" w:ascii="宋体" w:hAnsi="宋体" w:eastAsia="宋体" w:cs="宋体"/>
          <w:sz w:val="28"/>
          <w:szCs w:val="28"/>
        </w:rPr>
        <w:t>    1.2额定电压：220V，额定功率：≥1500W。</w:t>
      </w:r>
      <w:r>
        <w:rPr>
          <w:rFonts w:hint="eastAsia" w:ascii="宋体" w:hAnsi="宋体" w:eastAsia="宋体" w:cs="宋体"/>
          <w:sz w:val="28"/>
          <w:szCs w:val="28"/>
        </w:rPr>
        <w:br w:type="textWrapping"/>
      </w:r>
      <w:r>
        <w:rPr>
          <w:rFonts w:hint="eastAsia" w:ascii="宋体" w:hAnsi="宋体" w:eastAsia="宋体" w:cs="宋体"/>
          <w:sz w:val="28"/>
          <w:szCs w:val="28"/>
        </w:rPr>
        <w:t>    1.3功能要求：冷风功能：支持。倾倒断电：支持。摇头功能：支持。防水功能：支持。档位：2-3档。</w:t>
      </w:r>
      <w:r>
        <w:rPr>
          <w:rFonts w:hint="eastAsia" w:ascii="宋体" w:hAnsi="宋体" w:eastAsia="宋体" w:cs="宋体"/>
          <w:sz w:val="28"/>
          <w:szCs w:val="28"/>
        </w:rPr>
        <w:br w:type="textWrapping"/>
      </w:r>
      <w:r>
        <w:rPr>
          <w:rFonts w:hint="eastAsia" w:ascii="宋体" w:hAnsi="宋体" w:eastAsia="宋体" w:cs="宋体"/>
          <w:sz w:val="28"/>
          <w:szCs w:val="28"/>
        </w:rPr>
        <w:t>    1.4优质阻燃电源线。</w:t>
      </w:r>
      <w:r>
        <w:rPr>
          <w:rFonts w:hint="eastAsia" w:ascii="宋体" w:hAnsi="宋体" w:eastAsia="宋体" w:cs="宋体"/>
          <w:sz w:val="28"/>
          <w:szCs w:val="28"/>
        </w:rPr>
        <w:br w:type="textWrapping"/>
      </w:r>
      <w:r>
        <w:rPr>
          <w:rFonts w:hint="eastAsia" w:ascii="宋体" w:hAnsi="宋体" w:eastAsia="宋体" w:cs="宋体"/>
          <w:sz w:val="28"/>
          <w:szCs w:val="28"/>
        </w:rPr>
        <w:t>    2、提供所投产品2019年经省 级及以上检测机构出具的检测报告复印件（加盖公章），原件备查。检测依据为GB4706.1-2005、GB4706.23-2007及招标文件有关要求。检测项目必须有：输入功率和电流、功能检查。未提供检测报告或检测报告内的检测项目未达到招标文件要求的，视为投标无效。</w:t>
      </w:r>
      <w:r>
        <w:rPr>
          <w:rFonts w:hint="eastAsia" w:ascii="宋体" w:hAnsi="宋体" w:eastAsia="宋体" w:cs="宋体"/>
          <w:sz w:val="28"/>
          <w:szCs w:val="28"/>
        </w:rPr>
        <w:br w:type="textWrapping"/>
      </w:r>
      <w:r>
        <w:rPr>
          <w:rFonts w:hint="eastAsia" w:ascii="宋体" w:hAnsi="宋体" w:eastAsia="宋体" w:cs="宋体"/>
          <w:sz w:val="28"/>
          <w:szCs w:val="28"/>
        </w:rPr>
        <w:t>    3、包装：每10台装1箱，每台取暖器装入单独的塑料袋内。</w:t>
      </w:r>
      <w:r>
        <w:rPr>
          <w:rFonts w:hint="eastAsia" w:ascii="宋体" w:hAnsi="宋体" w:eastAsia="宋体" w:cs="宋体"/>
          <w:sz w:val="28"/>
          <w:szCs w:val="28"/>
        </w:rPr>
        <w:br w:type="textWrapping"/>
      </w:r>
      <w:r>
        <w:rPr>
          <w:rFonts w:hint="eastAsia" w:ascii="宋体" w:hAnsi="宋体" w:eastAsia="宋体" w:cs="宋体"/>
          <w:sz w:val="28"/>
          <w:szCs w:val="28"/>
        </w:rPr>
        <w:t>    4、样品要求：取暖器、包装【塑料袋、纸箱截片（长、宽≥10cm）、打包带（长度≥10cm）】。未提供样品视为投标无效。</w:t>
      </w:r>
      <w:r>
        <w:rPr>
          <w:rFonts w:hint="eastAsia" w:ascii="宋体" w:hAnsi="宋体" w:eastAsia="宋体" w:cs="宋体"/>
          <w:sz w:val="28"/>
          <w:szCs w:val="28"/>
        </w:rPr>
        <w:br w:type="textWrapping"/>
      </w:r>
      <w:r>
        <w:rPr>
          <w:rFonts w:hint="eastAsia" w:ascii="宋体" w:hAnsi="宋体" w:eastAsia="宋体" w:cs="宋体"/>
          <w:sz w:val="28"/>
          <w:szCs w:val="28"/>
        </w:rPr>
        <w:t>    5、包装印刷及其他要求：</w:t>
      </w:r>
    </w:p>
    <w:p w14:paraId="4C229FD1">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textAlignment w:val="auto"/>
      </w:pPr>
      <w:r>
        <w:rPr>
          <w:rFonts w:hint="eastAsia" w:ascii="宋体" w:hAnsi="宋体" w:eastAsia="宋体" w:cs="宋体"/>
          <w:sz w:val="28"/>
          <w:szCs w:val="28"/>
        </w:rPr>
        <w:t>   （1）纸箱外两侧面均印刷黑色的产品名 称、数量、质量、体积、生产年月、型号、承制单位名 称。其中产品名 称、承制单位名 称为黑体字，其他为宋体字。产品名 称前加“救灾”二字且字体宽度为60mm，其他字体宽度为35mm，承制单位名 称字体大小可根据单位名 称字数酌情选择，参 考图见《图1：外包装印刷示意图》。</w:t>
      </w:r>
    </w:p>
    <w:p w14:paraId="707CB60F">
      <w:pPr>
        <w:pStyle w:val="5"/>
        <w:keepNext w:val="0"/>
        <w:keepLines w:val="0"/>
        <w:widowControl/>
        <w:suppressLineNumbers w:val="0"/>
        <w:spacing w:before="0" w:beforeAutospacing="0" w:after="150" w:afterAutospacing="0"/>
        <w:ind w:left="0" w:right="0"/>
        <w:jc w:val="center"/>
      </w:pPr>
      <w:r>
        <w:drawing>
          <wp:inline distT="0" distB="0" distL="114300" distR="114300">
            <wp:extent cx="4038600" cy="2943225"/>
            <wp:effectExtent l="0" t="0" r="0" b="9525"/>
            <wp:docPr id="11" name="图片 11" descr="1562144494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62144494970.png"/>
                    <pic:cNvPicPr>
                      <a:picLocks noChangeAspect="1"/>
                    </pic:cNvPicPr>
                  </pic:nvPicPr>
                  <pic:blipFill>
                    <a:blip r:embed="rId5"/>
                    <a:stretch>
                      <a:fillRect/>
                    </a:stretch>
                  </pic:blipFill>
                  <pic:spPr>
                    <a:xfrm>
                      <a:off x="0" y="0"/>
                      <a:ext cx="4038600" cy="2943225"/>
                    </a:xfrm>
                    <a:prstGeom prst="rect">
                      <a:avLst/>
                    </a:prstGeom>
                    <a:noFill/>
                    <a:ln w="9525">
                      <a:noFill/>
                    </a:ln>
                  </pic:spPr>
                </pic:pic>
              </a:graphicData>
            </a:graphic>
          </wp:inline>
        </w:drawing>
      </w:r>
    </w:p>
    <w:p w14:paraId="43800572">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30" w:lineRule="exact"/>
        <w:ind w:left="0" w:right="0"/>
        <w:textAlignment w:val="auto"/>
      </w:pPr>
      <w:r>
        <w:rPr>
          <w:rFonts w:hint="eastAsia" w:ascii="宋体" w:hAnsi="宋体" w:eastAsia="宋体" w:cs="宋体"/>
          <w:sz w:val="28"/>
          <w:szCs w:val="28"/>
        </w:rPr>
        <w:t>    （2）纸箱两侧面距封口8cm处需各贴1个超高频电子标签（每纸箱贴2个）。电子标签为纸质超高频电子标签，长度为100mm，宽度为50mm。电子标签编码规则在合同签订后由采购人提供，空白电子标签由中标人采购，电子标签打印采购人可协助，电子标签需由中标人在物资卸货时负责粘贴。中标人应严格按照要求粘贴电子标签，保证电子标签平整、美观、无损坏。电子标签采购、打印、粘贴等产生的费用由中标人承担，计入中标价。电子标签参 考图见《图2：电子标签示意图》。</w:t>
      </w:r>
    </w:p>
    <w:p w14:paraId="4D77FAF8">
      <w:pPr>
        <w:pStyle w:val="5"/>
        <w:keepNext w:val="0"/>
        <w:keepLines w:val="0"/>
        <w:widowControl/>
        <w:suppressLineNumbers w:val="0"/>
        <w:spacing w:before="0" w:beforeAutospacing="0" w:after="150" w:afterAutospacing="0"/>
        <w:ind w:left="0" w:right="0"/>
        <w:jc w:val="center"/>
      </w:pPr>
      <w:r>
        <w:drawing>
          <wp:inline distT="0" distB="0" distL="114300" distR="114300">
            <wp:extent cx="4219575" cy="2333625"/>
            <wp:effectExtent l="0" t="0" r="9525" b="9525"/>
            <wp:docPr id="12" name="图片 12" descr="1562144515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62144515556.png"/>
                    <pic:cNvPicPr>
                      <a:picLocks noChangeAspect="1"/>
                    </pic:cNvPicPr>
                  </pic:nvPicPr>
                  <pic:blipFill>
                    <a:blip r:embed="rId10"/>
                    <a:stretch>
                      <a:fillRect/>
                    </a:stretch>
                  </pic:blipFill>
                  <pic:spPr>
                    <a:xfrm>
                      <a:off x="0" y="0"/>
                      <a:ext cx="4219575" cy="2333625"/>
                    </a:xfrm>
                    <a:prstGeom prst="rect">
                      <a:avLst/>
                    </a:prstGeom>
                    <a:noFill/>
                    <a:ln w="9525">
                      <a:noFill/>
                    </a:ln>
                  </pic:spPr>
                </pic:pic>
              </a:graphicData>
            </a:graphic>
          </wp:inline>
        </w:drawing>
      </w:r>
    </w:p>
    <w:p w14:paraId="762F69B3">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30" w:lineRule="exact"/>
        <w:ind w:left="0" w:right="0"/>
        <w:textAlignment w:val="auto"/>
      </w:pPr>
      <w:r>
        <w:rPr>
          <w:rFonts w:hint="eastAsia" w:ascii="宋体" w:hAnsi="宋体" w:eastAsia="宋体" w:cs="宋体"/>
          <w:sz w:val="28"/>
          <w:szCs w:val="28"/>
        </w:rPr>
        <w:t>   （3）纸箱为双瓦楞纸，箱外需打井字型打包带，便于搬运。</w:t>
      </w:r>
    </w:p>
    <w:p w14:paraId="7399D34B">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30" w:lineRule="exact"/>
        <w:ind w:left="0" w:right="0"/>
        <w:textAlignment w:val="auto"/>
      </w:pPr>
      <w:r>
        <w:rPr>
          <w:rFonts w:hint="eastAsia" w:ascii="宋体" w:hAnsi="宋体" w:eastAsia="宋体" w:cs="宋体"/>
          <w:sz w:val="28"/>
          <w:szCs w:val="28"/>
        </w:rPr>
        <w:t>    （4）每个纸箱内需附产品检验单一张，检验单样式见《图3 检验单》。其中“检验单”、“产品名 称”、“品等”、“生产日期”、“检验人员”和“承制单位名 称”标题为黑体字，其他为宋体字。检验单尺寸为B5纸的1/4。字体大小适宜。</w:t>
      </w:r>
    </w:p>
    <w:p w14:paraId="1E219247">
      <w:pPr>
        <w:pStyle w:val="5"/>
        <w:keepNext w:val="0"/>
        <w:keepLines w:val="0"/>
        <w:widowControl/>
        <w:suppressLineNumbers w:val="0"/>
        <w:spacing w:before="0" w:beforeAutospacing="0" w:after="150" w:afterAutospacing="0"/>
        <w:ind w:left="0" w:right="0"/>
        <w:jc w:val="center"/>
      </w:pPr>
      <w:r>
        <w:drawing>
          <wp:inline distT="0" distB="0" distL="114300" distR="114300">
            <wp:extent cx="3371850" cy="2019300"/>
            <wp:effectExtent l="0" t="0" r="0" b="0"/>
            <wp:docPr id="13" name="图片 13" descr="1562144571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62144571413.png"/>
                    <pic:cNvPicPr>
                      <a:picLocks noChangeAspect="1"/>
                    </pic:cNvPicPr>
                  </pic:nvPicPr>
                  <pic:blipFill>
                    <a:blip r:embed="rId7"/>
                    <a:stretch>
                      <a:fillRect/>
                    </a:stretch>
                  </pic:blipFill>
                  <pic:spPr>
                    <a:xfrm>
                      <a:off x="0" y="0"/>
                      <a:ext cx="3371850" cy="2019300"/>
                    </a:xfrm>
                    <a:prstGeom prst="rect">
                      <a:avLst/>
                    </a:prstGeom>
                    <a:noFill/>
                    <a:ln w="9525">
                      <a:noFill/>
                    </a:ln>
                  </pic:spPr>
                </pic:pic>
              </a:graphicData>
            </a:graphic>
          </wp:inline>
        </w:drawing>
      </w:r>
    </w:p>
    <w:p w14:paraId="2D872B7F">
      <w:pPr>
        <w:pStyle w:val="5"/>
        <w:keepNext w:val="0"/>
        <w:keepLines w:val="0"/>
        <w:widowControl/>
        <w:suppressLineNumbers w:val="0"/>
        <w:spacing w:before="0" w:beforeAutospacing="0" w:after="0" w:afterAutospacing="0" w:line="555" w:lineRule="atLeast"/>
        <w:ind w:right="0"/>
      </w:pPr>
      <w:r>
        <w:rPr>
          <w:rFonts w:hint="eastAsia" w:ascii="黑体" w:hAnsi="宋体" w:eastAsia="黑体" w:cs="黑体"/>
          <w:sz w:val="28"/>
          <w:szCs w:val="28"/>
          <w:shd w:val="clear" w:fill="FFFFFF"/>
        </w:rPr>
        <w:t>合同包5:折叠床</w:t>
      </w:r>
    </w:p>
    <w:p w14:paraId="22218F32">
      <w:pPr>
        <w:pStyle w:val="5"/>
        <w:keepNext w:val="0"/>
        <w:keepLines w:val="0"/>
        <w:widowControl/>
        <w:suppressLineNumbers w:val="0"/>
        <w:spacing w:before="0" w:beforeAutospacing="0" w:after="0" w:afterAutospacing="0" w:line="555" w:lineRule="atLeast"/>
        <w:ind w:left="105" w:right="0" w:firstLine="555"/>
      </w:pPr>
      <w:r>
        <w:rPr>
          <w:rFonts w:hint="eastAsia" w:ascii="宋体" w:hAnsi="宋体" w:eastAsia="宋体" w:cs="宋体"/>
          <w:sz w:val="28"/>
          <w:szCs w:val="28"/>
        </w:rPr>
        <w:t>1.1样式结构及成品主要尺寸</w:t>
      </w:r>
    </w:p>
    <w:p w14:paraId="5D13A2D5">
      <w:pPr>
        <w:pStyle w:val="5"/>
        <w:keepNext w:val="0"/>
        <w:keepLines w:val="0"/>
        <w:widowControl/>
        <w:suppressLineNumbers w:val="0"/>
        <w:spacing w:before="0" w:beforeAutospacing="0" w:after="0" w:afterAutospacing="0" w:line="555" w:lineRule="atLeast"/>
        <w:ind w:left="105" w:right="0" w:firstLine="555"/>
        <w:rPr>
          <w:highlight w:val="none"/>
        </w:rPr>
      </w:pPr>
      <w:r>
        <w:rPr>
          <w:rFonts w:hint="eastAsia" w:ascii="宋体" w:hAnsi="宋体" w:eastAsia="宋体" w:cs="宋体"/>
          <w:sz w:val="28"/>
          <w:szCs w:val="28"/>
        </w:rPr>
        <w:t>1.1.1救灾专用折叠床为钢管床架折叠式。折叠床由床面和床架两部分组成，床头附带一个可搭扣的枕头，床面的上半部位加垫塑料板一块，塑料板在使用时向床尾方向推，折叠时向床头方向推。床背</w:t>
      </w:r>
      <w:r>
        <w:rPr>
          <w:rFonts w:hint="eastAsia" w:ascii="宋体" w:hAnsi="宋体" w:eastAsia="宋体" w:cs="宋体"/>
          <w:sz w:val="28"/>
          <w:szCs w:val="28"/>
          <w:highlight w:val="none"/>
        </w:rPr>
        <w:t>面配置可调节束紧带两条，其样式结构如图1～图3（单位为毫米）和附录A中图A.1～图A.</w:t>
      </w:r>
      <w:r>
        <w:rPr>
          <w:rFonts w:hint="eastAsia" w:ascii="宋体" w:hAnsi="宋体" w:eastAsia="宋体" w:cs="宋体"/>
          <w:sz w:val="28"/>
          <w:szCs w:val="28"/>
          <w:highlight w:val="none"/>
          <w:lang w:val="en-US" w:eastAsia="zh-CN"/>
        </w:rPr>
        <w:t>2</w:t>
      </w:r>
      <w:r>
        <w:rPr>
          <w:rFonts w:hint="eastAsia" w:ascii="宋体" w:hAnsi="宋体" w:eastAsia="宋体" w:cs="宋体"/>
          <w:sz w:val="28"/>
          <w:szCs w:val="28"/>
          <w:highlight w:val="none"/>
        </w:rPr>
        <w:t>。</w:t>
      </w:r>
    </w:p>
    <w:p w14:paraId="7045D7FC">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    1.1.2成品各部位名 称及主要尺寸见图1～图3。</w:t>
      </w:r>
    </w:p>
    <w:p w14:paraId="063A6C5E">
      <w:pPr>
        <w:pStyle w:val="5"/>
        <w:keepNext w:val="0"/>
        <w:keepLines w:val="0"/>
        <w:widowControl/>
        <w:suppressLineNumbers w:val="0"/>
        <w:spacing w:before="0" w:beforeAutospacing="0" w:after="150" w:afterAutospacing="0"/>
        <w:ind w:left="0" w:right="0"/>
        <w:jc w:val="center"/>
      </w:pPr>
      <w:r>
        <w:drawing>
          <wp:inline distT="0" distB="0" distL="114300" distR="114300">
            <wp:extent cx="5309235" cy="2574925"/>
            <wp:effectExtent l="0" t="0" r="5715" b="15875"/>
            <wp:docPr id="14" name="图片 14" descr="1562144607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62144607526.png"/>
                    <pic:cNvPicPr>
                      <a:picLocks noChangeAspect="1"/>
                    </pic:cNvPicPr>
                  </pic:nvPicPr>
                  <pic:blipFill>
                    <a:blip r:embed="rId11"/>
                    <a:stretch>
                      <a:fillRect/>
                    </a:stretch>
                  </pic:blipFill>
                  <pic:spPr>
                    <a:xfrm>
                      <a:off x="0" y="0"/>
                      <a:ext cx="5309235" cy="2574925"/>
                    </a:xfrm>
                    <a:prstGeom prst="rect">
                      <a:avLst/>
                    </a:prstGeom>
                    <a:noFill/>
                    <a:ln w="9525">
                      <a:noFill/>
                    </a:ln>
                  </pic:spPr>
                </pic:pic>
              </a:graphicData>
            </a:graphic>
          </wp:inline>
        </w:drawing>
      </w:r>
    </w:p>
    <w:p w14:paraId="2CA85FD6">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图1样式、结构及主要尺寸</w:t>
      </w:r>
    </w:p>
    <w:p w14:paraId="38180B02">
      <w:pPr>
        <w:pStyle w:val="5"/>
        <w:keepNext w:val="0"/>
        <w:keepLines w:val="0"/>
        <w:widowControl/>
        <w:suppressLineNumbers w:val="0"/>
        <w:spacing w:before="0" w:beforeAutospacing="0" w:after="150" w:afterAutospacing="0"/>
        <w:ind w:left="0" w:right="0"/>
      </w:pPr>
      <w:r>
        <w:drawing>
          <wp:inline distT="0" distB="0" distL="114300" distR="114300">
            <wp:extent cx="5425440" cy="3005455"/>
            <wp:effectExtent l="0" t="0" r="3810" b="4445"/>
            <wp:docPr id="15" name="图片 15" descr="1562144685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62144685237.png"/>
                    <pic:cNvPicPr>
                      <a:picLocks noChangeAspect="1"/>
                    </pic:cNvPicPr>
                  </pic:nvPicPr>
                  <pic:blipFill>
                    <a:blip r:embed="rId12"/>
                    <a:stretch>
                      <a:fillRect/>
                    </a:stretch>
                  </pic:blipFill>
                  <pic:spPr>
                    <a:xfrm>
                      <a:off x="0" y="0"/>
                      <a:ext cx="5425440" cy="3005455"/>
                    </a:xfrm>
                    <a:prstGeom prst="rect">
                      <a:avLst/>
                    </a:prstGeom>
                    <a:noFill/>
                    <a:ln w="9525">
                      <a:noFill/>
                    </a:ln>
                  </pic:spPr>
                </pic:pic>
              </a:graphicData>
            </a:graphic>
          </wp:inline>
        </w:drawing>
      </w:r>
    </w:p>
    <w:p w14:paraId="6EF12E3E">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图2样式、结构及主要尺寸</w:t>
      </w:r>
      <w:r>
        <w:rPr>
          <w:rFonts w:hint="eastAsia" w:ascii="宋体" w:hAnsi="宋体" w:eastAsia="宋体" w:cs="宋体"/>
          <w:sz w:val="21"/>
          <w:szCs w:val="21"/>
        </w:rPr>
        <w:br w:type="textWrapping"/>
      </w:r>
      <w:r>
        <w:rPr>
          <w:rFonts w:hint="eastAsia" w:ascii="宋体" w:hAnsi="宋体" w:eastAsia="宋体" w:cs="宋体"/>
          <w:sz w:val="21"/>
          <w:szCs w:val="21"/>
        </w:rPr>
        <w:drawing>
          <wp:inline distT="0" distB="0" distL="114300" distR="114300">
            <wp:extent cx="5455285" cy="2822575"/>
            <wp:effectExtent l="0" t="0" r="12065" b="15875"/>
            <wp:docPr id="16" name="图片 16" descr="15621447268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62144726880.png"/>
                    <pic:cNvPicPr>
                      <a:picLocks noChangeAspect="1"/>
                    </pic:cNvPicPr>
                  </pic:nvPicPr>
                  <pic:blipFill>
                    <a:blip r:embed="rId13"/>
                    <a:stretch>
                      <a:fillRect/>
                    </a:stretch>
                  </pic:blipFill>
                  <pic:spPr>
                    <a:xfrm>
                      <a:off x="0" y="0"/>
                      <a:ext cx="5455285" cy="2822575"/>
                    </a:xfrm>
                    <a:prstGeom prst="rect">
                      <a:avLst/>
                    </a:prstGeom>
                    <a:noFill/>
                    <a:ln w="9525">
                      <a:noFill/>
                    </a:ln>
                  </pic:spPr>
                </pic:pic>
              </a:graphicData>
            </a:graphic>
          </wp:inline>
        </w:drawing>
      </w:r>
    </w:p>
    <w:p w14:paraId="70C13C56">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图3样式、结构及主要尺寸</w:t>
      </w:r>
    </w:p>
    <w:p w14:paraId="2E01A5D2">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14:paraId="3B092045">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14:paraId="46E10EA2">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14:paraId="1C42F058">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14:paraId="1C67E131">
      <w:pPr>
        <w:pStyle w:val="5"/>
        <w:keepNext w:val="0"/>
        <w:keepLines w:val="0"/>
        <w:widowControl/>
        <w:suppressLineNumbers w:val="0"/>
        <w:spacing w:before="0" w:beforeAutospacing="0" w:after="150" w:afterAutospacing="0" w:line="600" w:lineRule="atLeast"/>
        <w:ind w:left="0" w:right="0" w:firstLine="555"/>
      </w:pPr>
      <w:r>
        <w:rPr>
          <w:rFonts w:hint="eastAsia" w:ascii="宋体" w:hAnsi="宋体" w:eastAsia="宋体" w:cs="宋体"/>
          <w:sz w:val="28"/>
          <w:szCs w:val="28"/>
        </w:rPr>
        <w:t>1.2材料规格</w:t>
      </w:r>
    </w:p>
    <w:p w14:paraId="3220BCF9">
      <w:pPr>
        <w:pStyle w:val="5"/>
        <w:keepNext w:val="0"/>
        <w:keepLines w:val="0"/>
        <w:widowControl/>
        <w:suppressLineNumbers w:val="0"/>
        <w:spacing w:before="0" w:beforeAutospacing="0" w:after="150" w:afterAutospacing="0" w:line="600" w:lineRule="atLeast"/>
        <w:ind w:left="0" w:right="0" w:firstLine="555"/>
      </w:pPr>
      <w:r>
        <w:rPr>
          <w:rFonts w:hint="eastAsia" w:ascii="宋体" w:hAnsi="宋体" w:eastAsia="宋体" w:cs="宋体"/>
          <w:sz w:val="28"/>
          <w:szCs w:val="28"/>
        </w:rPr>
        <w:t>主辅材料规格与质量要求、用途应符合表1的规定。</w:t>
      </w:r>
    </w:p>
    <w:p w14:paraId="74134191">
      <w:pPr>
        <w:pStyle w:val="5"/>
        <w:keepNext w:val="0"/>
        <w:keepLines w:val="0"/>
        <w:widowControl/>
        <w:suppressLineNumbers w:val="0"/>
        <w:spacing w:before="0" w:beforeAutospacing="0" w:after="0" w:afterAutospacing="0"/>
        <w:ind w:left="0" w:right="0"/>
      </w:pPr>
      <w:r>
        <w:rPr>
          <w:rFonts w:hint="eastAsia" w:ascii="宋体" w:hAnsi="宋体" w:eastAsia="宋体" w:cs="宋体"/>
          <w:sz w:val="21"/>
          <w:szCs w:val="21"/>
        </w:rPr>
        <w:t>表1主辅材料规格与质量要求、用途</w:t>
      </w:r>
    </w:p>
    <w:tbl>
      <w:tblPr>
        <w:tblStyle w:val="6"/>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620"/>
        <w:gridCol w:w="2895"/>
        <w:gridCol w:w="3540"/>
        <w:gridCol w:w="1515"/>
      </w:tblGrid>
      <w:tr w14:paraId="654C8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trPr>
        <w:tc>
          <w:tcPr>
            <w:tcW w:w="4515" w:type="dxa"/>
            <w:gridSpan w:val="2"/>
            <w:tcBorders>
              <w:tl2br w:val="nil"/>
              <w:tr2bl w:val="nil"/>
            </w:tcBorders>
            <w:shd w:val="clear" w:color="auto" w:fill="auto"/>
            <w:tcMar>
              <w:top w:w="0" w:type="dxa"/>
              <w:left w:w="105" w:type="dxa"/>
              <w:bottom w:w="0" w:type="dxa"/>
              <w:right w:w="105" w:type="dxa"/>
            </w:tcMar>
            <w:vAlign w:val="center"/>
          </w:tcPr>
          <w:p w14:paraId="4593DFAD">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材料</w:t>
            </w:r>
          </w:p>
        </w:tc>
        <w:tc>
          <w:tcPr>
            <w:tcW w:w="3540" w:type="dxa"/>
            <w:vMerge w:val="restart"/>
            <w:tcBorders>
              <w:tl2br w:val="nil"/>
              <w:tr2bl w:val="nil"/>
            </w:tcBorders>
            <w:shd w:val="clear" w:color="auto" w:fill="auto"/>
            <w:tcMar>
              <w:top w:w="0" w:type="dxa"/>
              <w:left w:w="105" w:type="dxa"/>
              <w:bottom w:w="0" w:type="dxa"/>
              <w:right w:w="105" w:type="dxa"/>
            </w:tcMar>
            <w:vAlign w:val="center"/>
          </w:tcPr>
          <w:p w14:paraId="7F264F42">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质量要求</w:t>
            </w:r>
          </w:p>
        </w:tc>
        <w:tc>
          <w:tcPr>
            <w:tcW w:w="1515" w:type="dxa"/>
            <w:vMerge w:val="restart"/>
            <w:tcBorders>
              <w:tl2br w:val="nil"/>
              <w:tr2bl w:val="nil"/>
            </w:tcBorders>
            <w:shd w:val="clear" w:color="auto" w:fill="auto"/>
            <w:tcMar>
              <w:top w:w="0" w:type="dxa"/>
              <w:left w:w="105" w:type="dxa"/>
              <w:bottom w:w="0" w:type="dxa"/>
              <w:right w:w="105" w:type="dxa"/>
            </w:tcMar>
            <w:vAlign w:val="center"/>
          </w:tcPr>
          <w:p w14:paraId="6DDC7FFA">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用途</w:t>
            </w:r>
          </w:p>
        </w:tc>
      </w:tr>
      <w:tr w14:paraId="06898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7DD626EB">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名 称</w:t>
            </w:r>
          </w:p>
        </w:tc>
        <w:tc>
          <w:tcPr>
            <w:tcW w:w="2895" w:type="dxa"/>
            <w:tcBorders>
              <w:tl2br w:val="nil"/>
              <w:tr2bl w:val="nil"/>
            </w:tcBorders>
            <w:shd w:val="clear" w:color="auto" w:fill="auto"/>
            <w:tcMar>
              <w:top w:w="0" w:type="dxa"/>
              <w:left w:w="105" w:type="dxa"/>
              <w:bottom w:w="0" w:type="dxa"/>
              <w:right w:w="105" w:type="dxa"/>
            </w:tcMar>
            <w:vAlign w:val="center"/>
          </w:tcPr>
          <w:p w14:paraId="32D56FDF">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规格</w:t>
            </w:r>
          </w:p>
        </w:tc>
        <w:tc>
          <w:tcPr>
            <w:tcW w:w="3540" w:type="dxa"/>
            <w:vMerge w:val="continue"/>
            <w:tcBorders>
              <w:tl2br w:val="nil"/>
              <w:tr2bl w:val="nil"/>
            </w:tcBorders>
            <w:shd w:val="clear" w:color="auto" w:fill="auto"/>
            <w:tcMar>
              <w:top w:w="0" w:type="dxa"/>
              <w:left w:w="105" w:type="dxa"/>
              <w:bottom w:w="0" w:type="dxa"/>
              <w:right w:w="105" w:type="dxa"/>
            </w:tcMar>
            <w:vAlign w:val="center"/>
          </w:tcPr>
          <w:p w14:paraId="383F698A">
            <w:pPr>
              <w:rPr>
                <w:rFonts w:hint="eastAsia" w:ascii="宋体"/>
                <w:sz w:val="24"/>
                <w:szCs w:val="24"/>
              </w:rPr>
            </w:pPr>
          </w:p>
        </w:tc>
        <w:tc>
          <w:tcPr>
            <w:tcW w:w="1515" w:type="dxa"/>
            <w:vMerge w:val="continue"/>
            <w:tcBorders>
              <w:tl2br w:val="nil"/>
              <w:tr2bl w:val="nil"/>
            </w:tcBorders>
            <w:shd w:val="clear" w:color="auto" w:fill="auto"/>
            <w:tcMar>
              <w:top w:w="0" w:type="dxa"/>
              <w:left w:w="105" w:type="dxa"/>
              <w:bottom w:w="0" w:type="dxa"/>
              <w:right w:w="105" w:type="dxa"/>
            </w:tcMar>
            <w:vAlign w:val="center"/>
          </w:tcPr>
          <w:p w14:paraId="0A1C4320">
            <w:pPr>
              <w:rPr>
                <w:rFonts w:hint="eastAsia" w:ascii="宋体"/>
                <w:sz w:val="24"/>
                <w:szCs w:val="24"/>
              </w:rPr>
            </w:pPr>
          </w:p>
        </w:tc>
      </w:tr>
      <w:tr w14:paraId="002C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087FBDAB">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PVC涂层布</w:t>
            </w:r>
          </w:p>
        </w:tc>
        <w:tc>
          <w:tcPr>
            <w:tcW w:w="2895" w:type="dxa"/>
            <w:tcBorders>
              <w:tl2br w:val="nil"/>
              <w:tr2bl w:val="nil"/>
            </w:tcBorders>
            <w:shd w:val="clear" w:color="auto" w:fill="auto"/>
            <w:tcMar>
              <w:top w:w="0" w:type="dxa"/>
              <w:left w:w="105" w:type="dxa"/>
              <w:bottom w:w="0" w:type="dxa"/>
              <w:right w:w="105" w:type="dxa"/>
            </w:tcMar>
            <w:vAlign w:val="center"/>
          </w:tcPr>
          <w:p w14:paraId="5B303B4E">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666dtex×666dtex 涤纶丝</w:t>
            </w:r>
          </w:p>
        </w:tc>
        <w:tc>
          <w:tcPr>
            <w:tcW w:w="3540" w:type="dxa"/>
            <w:tcBorders>
              <w:tl2br w:val="nil"/>
              <w:tr2bl w:val="nil"/>
            </w:tcBorders>
            <w:shd w:val="clear" w:color="auto" w:fill="auto"/>
            <w:tcMar>
              <w:top w:w="0" w:type="dxa"/>
              <w:left w:w="105" w:type="dxa"/>
              <w:bottom w:w="0" w:type="dxa"/>
              <w:right w:w="105" w:type="dxa"/>
            </w:tcMar>
            <w:vAlign w:val="center"/>
          </w:tcPr>
          <w:p w14:paraId="086E7D39">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附录B</w:t>
            </w:r>
          </w:p>
        </w:tc>
        <w:tc>
          <w:tcPr>
            <w:tcW w:w="1515" w:type="dxa"/>
            <w:tcBorders>
              <w:tl2br w:val="nil"/>
              <w:tr2bl w:val="nil"/>
            </w:tcBorders>
            <w:shd w:val="clear" w:color="auto" w:fill="auto"/>
            <w:tcMar>
              <w:top w:w="0" w:type="dxa"/>
              <w:left w:w="105" w:type="dxa"/>
              <w:bottom w:w="0" w:type="dxa"/>
              <w:right w:w="105" w:type="dxa"/>
            </w:tcMar>
            <w:vAlign w:val="center"/>
          </w:tcPr>
          <w:p w14:paraId="2377E092">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床布</w:t>
            </w:r>
          </w:p>
        </w:tc>
      </w:tr>
      <w:tr w14:paraId="39C8D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2D453A33">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焊接钢管</w:t>
            </w:r>
          </w:p>
        </w:tc>
        <w:tc>
          <w:tcPr>
            <w:tcW w:w="2895" w:type="dxa"/>
            <w:tcBorders>
              <w:tl2br w:val="nil"/>
              <w:tr2bl w:val="nil"/>
            </w:tcBorders>
            <w:shd w:val="clear" w:color="auto" w:fill="auto"/>
            <w:tcMar>
              <w:top w:w="0" w:type="dxa"/>
              <w:left w:w="105" w:type="dxa"/>
              <w:bottom w:w="0" w:type="dxa"/>
              <w:right w:w="105" w:type="dxa"/>
            </w:tcMar>
            <w:vAlign w:val="center"/>
          </w:tcPr>
          <w:p w14:paraId="14726DF4">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Q195  Φ25mm×1.1mm</w:t>
            </w:r>
          </w:p>
        </w:tc>
        <w:tc>
          <w:tcPr>
            <w:tcW w:w="3540" w:type="dxa"/>
            <w:tcBorders>
              <w:tl2br w:val="nil"/>
              <w:tr2bl w:val="nil"/>
            </w:tcBorders>
            <w:shd w:val="clear" w:color="auto" w:fill="auto"/>
            <w:tcMar>
              <w:top w:w="0" w:type="dxa"/>
              <w:left w:w="105" w:type="dxa"/>
              <w:bottom w:w="0" w:type="dxa"/>
              <w:right w:w="105" w:type="dxa"/>
            </w:tcMar>
            <w:vAlign w:val="center"/>
          </w:tcPr>
          <w:p w14:paraId="55B4529F">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GB/T 13793—2008</w:t>
            </w:r>
          </w:p>
        </w:tc>
        <w:tc>
          <w:tcPr>
            <w:tcW w:w="1515" w:type="dxa"/>
            <w:tcBorders>
              <w:tl2br w:val="nil"/>
              <w:tr2bl w:val="nil"/>
            </w:tcBorders>
            <w:shd w:val="clear" w:color="auto" w:fill="auto"/>
            <w:tcMar>
              <w:top w:w="0" w:type="dxa"/>
              <w:left w:w="105" w:type="dxa"/>
              <w:bottom w:w="0" w:type="dxa"/>
              <w:right w:w="105" w:type="dxa"/>
            </w:tcMar>
            <w:vAlign w:val="center"/>
          </w:tcPr>
          <w:p w14:paraId="4B09D1BD">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床架、床脚</w:t>
            </w:r>
          </w:p>
        </w:tc>
      </w:tr>
      <w:tr w14:paraId="601CC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1A4A9AC4">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钢板</w:t>
            </w:r>
          </w:p>
        </w:tc>
        <w:tc>
          <w:tcPr>
            <w:tcW w:w="2895" w:type="dxa"/>
            <w:tcBorders>
              <w:tl2br w:val="nil"/>
              <w:tr2bl w:val="nil"/>
            </w:tcBorders>
            <w:shd w:val="clear" w:color="auto" w:fill="auto"/>
            <w:tcMar>
              <w:top w:w="0" w:type="dxa"/>
              <w:left w:w="105" w:type="dxa"/>
              <w:bottom w:w="0" w:type="dxa"/>
              <w:right w:w="105" w:type="dxa"/>
            </w:tcMar>
            <w:vAlign w:val="center"/>
          </w:tcPr>
          <w:p w14:paraId="2839A6DF">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Q 195～Q 235  t 2.0mm</w:t>
            </w:r>
          </w:p>
        </w:tc>
        <w:tc>
          <w:tcPr>
            <w:tcW w:w="3540" w:type="dxa"/>
            <w:tcBorders>
              <w:tl2br w:val="nil"/>
              <w:tr2bl w:val="nil"/>
            </w:tcBorders>
            <w:shd w:val="clear" w:color="auto" w:fill="auto"/>
            <w:tcMar>
              <w:top w:w="0" w:type="dxa"/>
              <w:left w:w="105" w:type="dxa"/>
              <w:bottom w:w="0" w:type="dxa"/>
              <w:right w:w="105" w:type="dxa"/>
            </w:tcMar>
            <w:vAlign w:val="center"/>
          </w:tcPr>
          <w:p w14:paraId="571E22EE">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GB/T 912—2008</w:t>
            </w:r>
          </w:p>
        </w:tc>
        <w:tc>
          <w:tcPr>
            <w:tcW w:w="1515" w:type="dxa"/>
            <w:tcBorders>
              <w:tl2br w:val="nil"/>
              <w:tr2bl w:val="nil"/>
            </w:tcBorders>
            <w:shd w:val="clear" w:color="auto" w:fill="auto"/>
            <w:tcMar>
              <w:top w:w="0" w:type="dxa"/>
              <w:left w:w="105" w:type="dxa"/>
              <w:bottom w:w="0" w:type="dxa"/>
              <w:right w:w="105" w:type="dxa"/>
            </w:tcMar>
            <w:vAlign w:val="center"/>
          </w:tcPr>
          <w:p w14:paraId="245D4CA7">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床脚折页</w:t>
            </w:r>
          </w:p>
        </w:tc>
      </w:tr>
      <w:tr w14:paraId="43D4A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5" w:hRule="atLeast"/>
        </w:trPr>
        <w:tc>
          <w:tcPr>
            <w:tcW w:w="1620" w:type="dxa"/>
            <w:vMerge w:val="restart"/>
            <w:tcBorders>
              <w:tl2br w:val="nil"/>
              <w:tr2bl w:val="nil"/>
            </w:tcBorders>
            <w:shd w:val="clear" w:color="auto" w:fill="auto"/>
            <w:tcMar>
              <w:top w:w="0" w:type="dxa"/>
              <w:left w:w="105" w:type="dxa"/>
              <w:bottom w:w="0" w:type="dxa"/>
              <w:right w:w="105" w:type="dxa"/>
            </w:tcMar>
            <w:vAlign w:val="center"/>
          </w:tcPr>
          <w:p w14:paraId="01527E0B">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天蓝涤纶线带</w:t>
            </w:r>
          </w:p>
        </w:tc>
        <w:tc>
          <w:tcPr>
            <w:tcW w:w="2895" w:type="dxa"/>
            <w:tcBorders>
              <w:tl2br w:val="nil"/>
              <w:tr2bl w:val="nil"/>
            </w:tcBorders>
            <w:shd w:val="clear" w:color="auto" w:fill="auto"/>
            <w:tcMar>
              <w:top w:w="0" w:type="dxa"/>
              <w:left w:w="105" w:type="dxa"/>
              <w:bottom w:w="0" w:type="dxa"/>
              <w:right w:w="105" w:type="dxa"/>
            </w:tcMar>
            <w:vAlign w:val="center"/>
          </w:tcPr>
          <w:p w14:paraId="04EA8D0B">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28×4/22mm×2.0mm</w:t>
            </w:r>
          </w:p>
        </w:tc>
        <w:tc>
          <w:tcPr>
            <w:tcW w:w="3540" w:type="dxa"/>
            <w:tcBorders>
              <w:tl2br w:val="nil"/>
              <w:tr2bl w:val="nil"/>
            </w:tcBorders>
            <w:shd w:val="clear" w:color="auto" w:fill="auto"/>
            <w:tcMar>
              <w:top w:w="0" w:type="dxa"/>
              <w:left w:w="105" w:type="dxa"/>
              <w:bottom w:w="0" w:type="dxa"/>
              <w:right w:w="105" w:type="dxa"/>
            </w:tcMar>
            <w:vAlign w:val="center"/>
          </w:tcPr>
          <w:p w14:paraId="7246BE0D">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断裂强力≥1600N</w:t>
            </w:r>
          </w:p>
        </w:tc>
        <w:tc>
          <w:tcPr>
            <w:tcW w:w="1515" w:type="dxa"/>
            <w:tcBorders>
              <w:tl2br w:val="nil"/>
              <w:tr2bl w:val="nil"/>
            </w:tcBorders>
            <w:shd w:val="clear" w:color="auto" w:fill="auto"/>
            <w:tcMar>
              <w:top w:w="0" w:type="dxa"/>
              <w:left w:w="105" w:type="dxa"/>
              <w:bottom w:w="0" w:type="dxa"/>
              <w:right w:w="105" w:type="dxa"/>
            </w:tcMar>
            <w:vAlign w:val="center"/>
          </w:tcPr>
          <w:p w14:paraId="53D07A61">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固定床面</w:t>
            </w:r>
          </w:p>
        </w:tc>
      </w:tr>
      <w:tr w14:paraId="5999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5" w:hRule="atLeast"/>
        </w:trPr>
        <w:tc>
          <w:tcPr>
            <w:tcW w:w="1620" w:type="dxa"/>
            <w:vMerge w:val="continue"/>
            <w:tcBorders>
              <w:tl2br w:val="nil"/>
              <w:tr2bl w:val="nil"/>
            </w:tcBorders>
            <w:shd w:val="clear" w:color="auto" w:fill="auto"/>
            <w:tcMar>
              <w:top w:w="0" w:type="dxa"/>
              <w:left w:w="105" w:type="dxa"/>
              <w:bottom w:w="0" w:type="dxa"/>
              <w:right w:w="105" w:type="dxa"/>
            </w:tcMar>
            <w:vAlign w:val="center"/>
          </w:tcPr>
          <w:p w14:paraId="546AA82A">
            <w:pPr>
              <w:rPr>
                <w:rFonts w:hint="eastAsia" w:ascii="宋体"/>
                <w:sz w:val="24"/>
                <w:szCs w:val="24"/>
              </w:rPr>
            </w:pPr>
          </w:p>
        </w:tc>
        <w:tc>
          <w:tcPr>
            <w:tcW w:w="2895" w:type="dxa"/>
            <w:tcBorders>
              <w:tl2br w:val="nil"/>
              <w:tr2bl w:val="nil"/>
            </w:tcBorders>
            <w:shd w:val="clear" w:color="auto" w:fill="auto"/>
            <w:tcMar>
              <w:top w:w="0" w:type="dxa"/>
              <w:left w:w="105" w:type="dxa"/>
              <w:bottom w:w="0" w:type="dxa"/>
              <w:right w:w="105" w:type="dxa"/>
            </w:tcMar>
            <w:vAlign w:val="center"/>
          </w:tcPr>
          <w:p w14:paraId="729A581A">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28×2/19mm×0.5mm</w:t>
            </w:r>
          </w:p>
        </w:tc>
        <w:tc>
          <w:tcPr>
            <w:tcW w:w="3540" w:type="dxa"/>
            <w:tcBorders>
              <w:tl2br w:val="nil"/>
              <w:tr2bl w:val="nil"/>
            </w:tcBorders>
            <w:shd w:val="clear" w:color="auto" w:fill="auto"/>
            <w:tcMar>
              <w:top w:w="0" w:type="dxa"/>
              <w:left w:w="105" w:type="dxa"/>
              <w:bottom w:w="0" w:type="dxa"/>
              <w:right w:w="105" w:type="dxa"/>
            </w:tcMar>
            <w:vAlign w:val="center"/>
          </w:tcPr>
          <w:p w14:paraId="3054F40B">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断裂强力≥400N</w:t>
            </w:r>
          </w:p>
        </w:tc>
        <w:tc>
          <w:tcPr>
            <w:tcW w:w="1515" w:type="dxa"/>
            <w:tcBorders>
              <w:tl2br w:val="nil"/>
              <w:tr2bl w:val="nil"/>
            </w:tcBorders>
            <w:shd w:val="clear" w:color="auto" w:fill="auto"/>
            <w:tcMar>
              <w:top w:w="0" w:type="dxa"/>
              <w:left w:w="105" w:type="dxa"/>
              <w:bottom w:w="0" w:type="dxa"/>
              <w:right w:w="105" w:type="dxa"/>
            </w:tcMar>
            <w:vAlign w:val="center"/>
          </w:tcPr>
          <w:p w14:paraId="36F8C183">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滚边</w:t>
            </w:r>
          </w:p>
        </w:tc>
      </w:tr>
      <w:tr w14:paraId="6C75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5" w:hRule="atLeast"/>
        </w:trPr>
        <w:tc>
          <w:tcPr>
            <w:tcW w:w="1620" w:type="dxa"/>
            <w:vMerge w:val="continue"/>
            <w:tcBorders>
              <w:tl2br w:val="nil"/>
              <w:tr2bl w:val="nil"/>
            </w:tcBorders>
            <w:shd w:val="clear" w:color="auto" w:fill="auto"/>
            <w:tcMar>
              <w:top w:w="0" w:type="dxa"/>
              <w:left w:w="105" w:type="dxa"/>
              <w:bottom w:w="0" w:type="dxa"/>
              <w:right w:w="105" w:type="dxa"/>
            </w:tcMar>
            <w:vAlign w:val="center"/>
          </w:tcPr>
          <w:p w14:paraId="76C6A889">
            <w:pPr>
              <w:rPr>
                <w:rFonts w:hint="eastAsia" w:ascii="宋体"/>
                <w:sz w:val="24"/>
                <w:szCs w:val="24"/>
              </w:rPr>
            </w:pPr>
          </w:p>
        </w:tc>
        <w:tc>
          <w:tcPr>
            <w:tcW w:w="2895" w:type="dxa"/>
            <w:tcBorders>
              <w:tl2br w:val="nil"/>
              <w:tr2bl w:val="nil"/>
            </w:tcBorders>
            <w:shd w:val="clear" w:color="auto" w:fill="auto"/>
            <w:tcMar>
              <w:top w:w="0" w:type="dxa"/>
              <w:left w:w="105" w:type="dxa"/>
              <w:bottom w:w="0" w:type="dxa"/>
              <w:right w:w="105" w:type="dxa"/>
            </w:tcMar>
            <w:vAlign w:val="center"/>
          </w:tcPr>
          <w:p w14:paraId="4C506104">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28×4/50mm×1.8mm</w:t>
            </w:r>
          </w:p>
        </w:tc>
        <w:tc>
          <w:tcPr>
            <w:tcW w:w="3540" w:type="dxa"/>
            <w:tcBorders>
              <w:tl2br w:val="nil"/>
              <w:tr2bl w:val="nil"/>
            </w:tcBorders>
            <w:shd w:val="clear" w:color="auto" w:fill="auto"/>
            <w:tcMar>
              <w:top w:w="0" w:type="dxa"/>
              <w:left w:w="105" w:type="dxa"/>
              <w:bottom w:w="0" w:type="dxa"/>
              <w:right w:w="105" w:type="dxa"/>
            </w:tcMar>
            <w:vAlign w:val="center"/>
          </w:tcPr>
          <w:p w14:paraId="75A77444">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断裂强力≥2500N</w:t>
            </w:r>
          </w:p>
        </w:tc>
        <w:tc>
          <w:tcPr>
            <w:tcW w:w="1515" w:type="dxa"/>
            <w:tcBorders>
              <w:tl2br w:val="nil"/>
              <w:tr2bl w:val="nil"/>
            </w:tcBorders>
            <w:shd w:val="clear" w:color="auto" w:fill="auto"/>
            <w:tcMar>
              <w:top w:w="0" w:type="dxa"/>
              <w:left w:w="105" w:type="dxa"/>
              <w:bottom w:w="0" w:type="dxa"/>
              <w:right w:w="105" w:type="dxa"/>
            </w:tcMar>
            <w:vAlign w:val="center"/>
          </w:tcPr>
          <w:p w14:paraId="3D95A2F0">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束紧带</w:t>
            </w:r>
          </w:p>
        </w:tc>
      </w:tr>
      <w:tr w14:paraId="2C691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22AFFF95">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插扣</w:t>
            </w:r>
          </w:p>
        </w:tc>
        <w:tc>
          <w:tcPr>
            <w:tcW w:w="2895" w:type="dxa"/>
            <w:vMerge w:val="restart"/>
            <w:tcBorders>
              <w:tl2br w:val="nil"/>
              <w:tr2bl w:val="nil"/>
            </w:tcBorders>
            <w:shd w:val="clear" w:color="auto" w:fill="auto"/>
            <w:tcMar>
              <w:top w:w="0" w:type="dxa"/>
              <w:left w:w="105" w:type="dxa"/>
              <w:bottom w:w="0" w:type="dxa"/>
              <w:right w:w="105" w:type="dxa"/>
            </w:tcMar>
            <w:vAlign w:val="center"/>
          </w:tcPr>
          <w:p w14:paraId="00246535">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聚甲醛  50mm</w:t>
            </w:r>
          </w:p>
        </w:tc>
        <w:tc>
          <w:tcPr>
            <w:tcW w:w="3540" w:type="dxa"/>
            <w:tcBorders>
              <w:tl2br w:val="nil"/>
              <w:tr2bl w:val="nil"/>
            </w:tcBorders>
            <w:shd w:val="clear" w:color="auto" w:fill="auto"/>
            <w:tcMar>
              <w:top w:w="0" w:type="dxa"/>
              <w:left w:w="105" w:type="dxa"/>
              <w:bottom w:w="0" w:type="dxa"/>
              <w:right w:w="105" w:type="dxa"/>
            </w:tcMar>
            <w:vAlign w:val="top"/>
          </w:tcPr>
          <w:p w14:paraId="4721F25C">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抗拉强力≥700N</w:t>
            </w:r>
          </w:p>
        </w:tc>
        <w:tc>
          <w:tcPr>
            <w:tcW w:w="1515" w:type="dxa"/>
            <w:tcBorders>
              <w:tl2br w:val="nil"/>
              <w:tr2bl w:val="nil"/>
            </w:tcBorders>
            <w:shd w:val="clear" w:color="auto" w:fill="auto"/>
            <w:tcMar>
              <w:top w:w="0" w:type="dxa"/>
              <w:left w:w="105" w:type="dxa"/>
              <w:bottom w:w="0" w:type="dxa"/>
              <w:right w:w="105" w:type="dxa"/>
            </w:tcMar>
            <w:vAlign w:val="center"/>
          </w:tcPr>
          <w:p w14:paraId="7E844F9D">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连接束紧带</w:t>
            </w:r>
          </w:p>
        </w:tc>
      </w:tr>
      <w:tr w14:paraId="19AF2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786A4E13">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三道梁</w:t>
            </w:r>
          </w:p>
        </w:tc>
        <w:tc>
          <w:tcPr>
            <w:tcW w:w="2895" w:type="dxa"/>
            <w:vMerge w:val="continue"/>
            <w:tcBorders>
              <w:tl2br w:val="nil"/>
              <w:tr2bl w:val="nil"/>
            </w:tcBorders>
            <w:shd w:val="clear" w:color="auto" w:fill="auto"/>
            <w:tcMar>
              <w:top w:w="0" w:type="dxa"/>
              <w:left w:w="105" w:type="dxa"/>
              <w:bottom w:w="0" w:type="dxa"/>
              <w:right w:w="105" w:type="dxa"/>
            </w:tcMar>
            <w:vAlign w:val="center"/>
          </w:tcPr>
          <w:p w14:paraId="2728BCD1">
            <w:pPr>
              <w:rPr>
                <w:rFonts w:hint="eastAsia" w:ascii="宋体"/>
                <w:sz w:val="24"/>
                <w:szCs w:val="24"/>
              </w:rPr>
            </w:pPr>
          </w:p>
        </w:tc>
        <w:tc>
          <w:tcPr>
            <w:tcW w:w="3540" w:type="dxa"/>
            <w:tcBorders>
              <w:tl2br w:val="nil"/>
              <w:tr2bl w:val="nil"/>
            </w:tcBorders>
            <w:shd w:val="clear" w:color="auto" w:fill="auto"/>
            <w:tcMar>
              <w:top w:w="0" w:type="dxa"/>
              <w:left w:w="105" w:type="dxa"/>
              <w:bottom w:w="0" w:type="dxa"/>
              <w:right w:w="105" w:type="dxa"/>
            </w:tcMar>
            <w:vAlign w:val="top"/>
          </w:tcPr>
          <w:p w14:paraId="484FE329">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抗拉强力≥900N</w:t>
            </w:r>
          </w:p>
        </w:tc>
        <w:tc>
          <w:tcPr>
            <w:tcW w:w="1515" w:type="dxa"/>
            <w:tcBorders>
              <w:tl2br w:val="nil"/>
              <w:tr2bl w:val="nil"/>
            </w:tcBorders>
            <w:shd w:val="clear" w:color="auto" w:fill="auto"/>
            <w:tcMar>
              <w:top w:w="0" w:type="dxa"/>
              <w:left w:w="105" w:type="dxa"/>
              <w:bottom w:w="0" w:type="dxa"/>
              <w:right w:w="105" w:type="dxa"/>
            </w:tcMar>
            <w:vAlign w:val="center"/>
          </w:tcPr>
          <w:p w14:paraId="1ED8D9EB">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调节束紧带</w:t>
            </w:r>
          </w:p>
        </w:tc>
      </w:tr>
      <w:tr w14:paraId="6163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62DE52E5">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活动三节环</w:t>
            </w:r>
          </w:p>
        </w:tc>
        <w:tc>
          <w:tcPr>
            <w:tcW w:w="2895" w:type="dxa"/>
            <w:tcBorders>
              <w:tl2br w:val="nil"/>
              <w:tr2bl w:val="nil"/>
            </w:tcBorders>
            <w:shd w:val="clear" w:color="auto" w:fill="auto"/>
            <w:tcMar>
              <w:top w:w="0" w:type="dxa"/>
              <w:left w:w="105" w:type="dxa"/>
              <w:bottom w:w="0" w:type="dxa"/>
              <w:right w:w="105" w:type="dxa"/>
            </w:tcMar>
            <w:vAlign w:val="center"/>
          </w:tcPr>
          <w:p w14:paraId="777A8CC6">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Q195～Q235 24mm×17mm</w:t>
            </w:r>
          </w:p>
        </w:tc>
        <w:tc>
          <w:tcPr>
            <w:tcW w:w="3540" w:type="dxa"/>
            <w:tcBorders>
              <w:tl2br w:val="nil"/>
              <w:tr2bl w:val="nil"/>
            </w:tcBorders>
            <w:shd w:val="clear" w:color="auto" w:fill="auto"/>
            <w:tcMar>
              <w:top w:w="0" w:type="dxa"/>
              <w:left w:w="105" w:type="dxa"/>
              <w:bottom w:w="0" w:type="dxa"/>
              <w:right w:w="105" w:type="dxa"/>
            </w:tcMar>
            <w:vAlign w:val="center"/>
          </w:tcPr>
          <w:p w14:paraId="279C5EEE">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YB/T5294—2006、JS3—17—1980</w:t>
            </w:r>
          </w:p>
        </w:tc>
        <w:tc>
          <w:tcPr>
            <w:tcW w:w="1515" w:type="dxa"/>
            <w:tcBorders>
              <w:tl2br w:val="nil"/>
              <w:tr2bl w:val="nil"/>
            </w:tcBorders>
            <w:shd w:val="clear" w:color="auto" w:fill="auto"/>
            <w:tcMar>
              <w:top w:w="0" w:type="dxa"/>
              <w:left w:w="105" w:type="dxa"/>
              <w:bottom w:w="0" w:type="dxa"/>
              <w:right w:w="105" w:type="dxa"/>
            </w:tcMar>
            <w:vAlign w:val="center"/>
          </w:tcPr>
          <w:p w14:paraId="6B7A46B8">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固定床面</w:t>
            </w:r>
          </w:p>
        </w:tc>
      </w:tr>
      <w:tr w14:paraId="5B77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71231CD5">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天蓝锦丝搭扣带</w:t>
            </w:r>
          </w:p>
        </w:tc>
        <w:tc>
          <w:tcPr>
            <w:tcW w:w="2895" w:type="dxa"/>
            <w:tcBorders>
              <w:tl2br w:val="nil"/>
              <w:tr2bl w:val="nil"/>
            </w:tcBorders>
            <w:shd w:val="clear" w:color="auto" w:fill="auto"/>
            <w:tcMar>
              <w:top w:w="0" w:type="dxa"/>
              <w:left w:w="105" w:type="dxa"/>
              <w:bottom w:w="0" w:type="dxa"/>
              <w:right w:w="105" w:type="dxa"/>
            </w:tcMar>
            <w:vAlign w:val="center"/>
          </w:tcPr>
          <w:p w14:paraId="7AB426BF">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宽度 25mm</w:t>
            </w:r>
          </w:p>
        </w:tc>
        <w:tc>
          <w:tcPr>
            <w:tcW w:w="3540" w:type="dxa"/>
            <w:tcBorders>
              <w:tl2br w:val="nil"/>
              <w:tr2bl w:val="nil"/>
            </w:tcBorders>
            <w:shd w:val="clear" w:color="auto" w:fill="auto"/>
            <w:tcMar>
              <w:top w:w="0" w:type="dxa"/>
              <w:left w:w="105" w:type="dxa"/>
              <w:bottom w:w="0" w:type="dxa"/>
              <w:right w:w="105" w:type="dxa"/>
            </w:tcMar>
            <w:vAlign w:val="center"/>
          </w:tcPr>
          <w:p w14:paraId="7D0D7095">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扣合强度≥7.0N/cm</w:t>
            </w:r>
            <w:r>
              <w:rPr>
                <w:rFonts w:hint="eastAsia" w:ascii="宋体" w:hAnsi="宋体" w:eastAsia="宋体" w:cs="宋体"/>
                <w:sz w:val="21"/>
                <w:szCs w:val="21"/>
                <w:vertAlign w:val="superscript"/>
              </w:rPr>
              <w:t>2</w:t>
            </w:r>
            <w:r>
              <w:rPr>
                <w:rFonts w:hint="eastAsia" w:ascii="宋体" w:hAnsi="宋体" w:eastAsia="宋体" w:cs="宋体"/>
                <w:sz w:val="21"/>
                <w:szCs w:val="21"/>
              </w:rPr>
              <w:t>，撕揭强度≥1.3N/cm</w:t>
            </w:r>
          </w:p>
        </w:tc>
        <w:tc>
          <w:tcPr>
            <w:tcW w:w="1515" w:type="dxa"/>
            <w:tcBorders>
              <w:tl2br w:val="nil"/>
              <w:tr2bl w:val="nil"/>
            </w:tcBorders>
            <w:shd w:val="clear" w:color="auto" w:fill="auto"/>
            <w:tcMar>
              <w:top w:w="0" w:type="dxa"/>
              <w:left w:w="105" w:type="dxa"/>
              <w:bottom w:w="0" w:type="dxa"/>
              <w:right w:w="105" w:type="dxa"/>
            </w:tcMar>
            <w:vAlign w:val="center"/>
          </w:tcPr>
          <w:p w14:paraId="2FC4EF70">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固定隔板、枕头</w:t>
            </w:r>
          </w:p>
        </w:tc>
      </w:tr>
      <w:tr w14:paraId="313D9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59584C27">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天蓝缝纫线</w:t>
            </w:r>
          </w:p>
        </w:tc>
        <w:tc>
          <w:tcPr>
            <w:tcW w:w="2895" w:type="dxa"/>
            <w:tcBorders>
              <w:tl2br w:val="nil"/>
              <w:tr2bl w:val="nil"/>
            </w:tcBorders>
            <w:shd w:val="clear" w:color="auto" w:fill="auto"/>
            <w:tcMar>
              <w:top w:w="0" w:type="dxa"/>
              <w:left w:w="105" w:type="dxa"/>
              <w:bottom w:w="0" w:type="dxa"/>
              <w:right w:w="105" w:type="dxa"/>
            </w:tcMar>
            <w:vAlign w:val="center"/>
          </w:tcPr>
          <w:p w14:paraId="79F85BE8">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29.5tex×3</w:t>
            </w:r>
          </w:p>
        </w:tc>
        <w:tc>
          <w:tcPr>
            <w:tcW w:w="3540" w:type="dxa"/>
            <w:tcBorders>
              <w:tl2br w:val="nil"/>
              <w:tr2bl w:val="nil"/>
            </w:tcBorders>
            <w:shd w:val="clear" w:color="auto" w:fill="auto"/>
            <w:tcMar>
              <w:top w:w="0" w:type="dxa"/>
              <w:left w:w="105" w:type="dxa"/>
              <w:bottom w:w="0" w:type="dxa"/>
              <w:right w:w="105" w:type="dxa"/>
            </w:tcMar>
            <w:vAlign w:val="center"/>
          </w:tcPr>
          <w:p w14:paraId="6B447CC4">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GB/T 6836—2007</w:t>
            </w:r>
          </w:p>
        </w:tc>
        <w:tc>
          <w:tcPr>
            <w:tcW w:w="1515" w:type="dxa"/>
            <w:tcBorders>
              <w:tl2br w:val="nil"/>
              <w:tr2bl w:val="nil"/>
            </w:tcBorders>
            <w:shd w:val="clear" w:color="auto" w:fill="auto"/>
            <w:tcMar>
              <w:top w:w="0" w:type="dxa"/>
              <w:left w:w="105" w:type="dxa"/>
              <w:bottom w:w="0" w:type="dxa"/>
              <w:right w:w="105" w:type="dxa"/>
            </w:tcMar>
            <w:vAlign w:val="center"/>
          </w:tcPr>
          <w:p w14:paraId="1B0DD433">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缝制</w:t>
            </w:r>
          </w:p>
        </w:tc>
      </w:tr>
      <w:tr w14:paraId="707F7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3CE8D9C0">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塑料板</w:t>
            </w:r>
          </w:p>
        </w:tc>
        <w:tc>
          <w:tcPr>
            <w:tcW w:w="2895" w:type="dxa"/>
            <w:tcBorders>
              <w:tl2br w:val="nil"/>
              <w:tr2bl w:val="nil"/>
            </w:tcBorders>
            <w:shd w:val="clear" w:color="auto" w:fill="auto"/>
            <w:tcMar>
              <w:top w:w="0" w:type="dxa"/>
              <w:left w:w="105" w:type="dxa"/>
              <w:bottom w:w="0" w:type="dxa"/>
              <w:right w:w="105" w:type="dxa"/>
            </w:tcMar>
            <w:vAlign w:val="center"/>
          </w:tcPr>
          <w:p w14:paraId="4F15C998">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PVC  840mm×500mm×4mm</w:t>
            </w:r>
          </w:p>
        </w:tc>
        <w:tc>
          <w:tcPr>
            <w:tcW w:w="3540" w:type="dxa"/>
            <w:tcBorders>
              <w:tl2br w:val="nil"/>
              <w:tr2bl w:val="nil"/>
            </w:tcBorders>
            <w:shd w:val="clear" w:color="auto" w:fill="auto"/>
            <w:tcMar>
              <w:top w:w="0" w:type="dxa"/>
              <w:left w:w="105" w:type="dxa"/>
              <w:bottom w:w="0" w:type="dxa"/>
              <w:right w:w="105" w:type="dxa"/>
            </w:tcMar>
            <w:vAlign w:val="center"/>
          </w:tcPr>
          <w:p w14:paraId="7A601222">
            <w:pPr>
              <w:keepNext w:val="0"/>
              <w:keepLines w:val="0"/>
              <w:widowControl/>
              <w:suppressLineNumbers w:val="0"/>
              <w:jc w:val="left"/>
            </w:pPr>
          </w:p>
        </w:tc>
        <w:tc>
          <w:tcPr>
            <w:tcW w:w="1515" w:type="dxa"/>
            <w:tcBorders>
              <w:tl2br w:val="nil"/>
              <w:tr2bl w:val="nil"/>
            </w:tcBorders>
            <w:shd w:val="clear" w:color="auto" w:fill="auto"/>
            <w:tcMar>
              <w:top w:w="0" w:type="dxa"/>
              <w:left w:w="105" w:type="dxa"/>
              <w:bottom w:w="0" w:type="dxa"/>
              <w:right w:w="105" w:type="dxa"/>
            </w:tcMar>
            <w:vAlign w:val="center"/>
          </w:tcPr>
          <w:p w14:paraId="13071848">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垫床面</w:t>
            </w:r>
          </w:p>
        </w:tc>
      </w:tr>
      <w:tr w14:paraId="6C1E0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51990F81">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螺钉</w:t>
            </w:r>
          </w:p>
        </w:tc>
        <w:tc>
          <w:tcPr>
            <w:tcW w:w="2895" w:type="dxa"/>
            <w:tcBorders>
              <w:tl2br w:val="nil"/>
              <w:tr2bl w:val="nil"/>
            </w:tcBorders>
            <w:shd w:val="clear" w:color="auto" w:fill="auto"/>
            <w:tcMar>
              <w:top w:w="0" w:type="dxa"/>
              <w:left w:w="105" w:type="dxa"/>
              <w:bottom w:w="0" w:type="dxa"/>
              <w:right w:w="105" w:type="dxa"/>
            </w:tcMar>
            <w:vAlign w:val="center"/>
          </w:tcPr>
          <w:p w14:paraId="5C732EDC">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M4mm</w:t>
            </w:r>
          </w:p>
        </w:tc>
        <w:tc>
          <w:tcPr>
            <w:tcW w:w="3540" w:type="dxa"/>
            <w:tcBorders>
              <w:tl2br w:val="nil"/>
              <w:tr2bl w:val="nil"/>
            </w:tcBorders>
            <w:shd w:val="clear" w:color="auto" w:fill="auto"/>
            <w:tcMar>
              <w:top w:w="0" w:type="dxa"/>
              <w:left w:w="105" w:type="dxa"/>
              <w:bottom w:w="0" w:type="dxa"/>
              <w:right w:w="105" w:type="dxa"/>
            </w:tcMar>
            <w:vAlign w:val="center"/>
          </w:tcPr>
          <w:p w14:paraId="40684F14">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GB/T 830—1988</w:t>
            </w:r>
          </w:p>
        </w:tc>
        <w:tc>
          <w:tcPr>
            <w:tcW w:w="1515" w:type="dxa"/>
            <w:tcBorders>
              <w:tl2br w:val="nil"/>
              <w:tr2bl w:val="nil"/>
            </w:tcBorders>
            <w:shd w:val="clear" w:color="auto" w:fill="auto"/>
            <w:tcMar>
              <w:top w:w="0" w:type="dxa"/>
              <w:left w:w="105" w:type="dxa"/>
              <w:bottom w:w="0" w:type="dxa"/>
              <w:right w:w="105" w:type="dxa"/>
            </w:tcMar>
            <w:vAlign w:val="center"/>
          </w:tcPr>
          <w:p w14:paraId="192710FF">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固定折页</w:t>
            </w:r>
          </w:p>
        </w:tc>
      </w:tr>
      <w:tr w14:paraId="3032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1D0DFA84">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螺母</w:t>
            </w:r>
          </w:p>
        </w:tc>
        <w:tc>
          <w:tcPr>
            <w:tcW w:w="2895" w:type="dxa"/>
            <w:tcBorders>
              <w:tl2br w:val="nil"/>
              <w:tr2bl w:val="nil"/>
            </w:tcBorders>
            <w:shd w:val="clear" w:color="auto" w:fill="auto"/>
            <w:tcMar>
              <w:top w:w="0" w:type="dxa"/>
              <w:left w:w="105" w:type="dxa"/>
              <w:bottom w:w="0" w:type="dxa"/>
              <w:right w:w="105" w:type="dxa"/>
            </w:tcMar>
            <w:vAlign w:val="center"/>
          </w:tcPr>
          <w:p w14:paraId="6B9A4846">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M4mm</w:t>
            </w:r>
          </w:p>
        </w:tc>
        <w:tc>
          <w:tcPr>
            <w:tcW w:w="3540" w:type="dxa"/>
            <w:tcBorders>
              <w:tl2br w:val="nil"/>
              <w:tr2bl w:val="nil"/>
            </w:tcBorders>
            <w:shd w:val="clear" w:color="auto" w:fill="auto"/>
            <w:tcMar>
              <w:top w:w="0" w:type="dxa"/>
              <w:left w:w="105" w:type="dxa"/>
              <w:bottom w:w="0" w:type="dxa"/>
              <w:right w:w="105" w:type="dxa"/>
            </w:tcMar>
            <w:vAlign w:val="center"/>
          </w:tcPr>
          <w:p w14:paraId="05B05459">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GB/T 812—1988</w:t>
            </w:r>
          </w:p>
        </w:tc>
        <w:tc>
          <w:tcPr>
            <w:tcW w:w="1515" w:type="dxa"/>
            <w:tcBorders>
              <w:tl2br w:val="nil"/>
              <w:tr2bl w:val="nil"/>
            </w:tcBorders>
            <w:shd w:val="clear" w:color="auto" w:fill="auto"/>
            <w:tcMar>
              <w:top w:w="0" w:type="dxa"/>
              <w:left w:w="105" w:type="dxa"/>
              <w:bottom w:w="0" w:type="dxa"/>
              <w:right w:w="105" w:type="dxa"/>
            </w:tcMar>
            <w:vAlign w:val="center"/>
          </w:tcPr>
          <w:p w14:paraId="0B947EB9">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固定折页</w:t>
            </w:r>
          </w:p>
        </w:tc>
      </w:tr>
      <w:tr w14:paraId="57DCD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3B88F3A4">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垫圈</w:t>
            </w:r>
          </w:p>
        </w:tc>
        <w:tc>
          <w:tcPr>
            <w:tcW w:w="2895" w:type="dxa"/>
            <w:tcBorders>
              <w:tl2br w:val="nil"/>
              <w:tr2bl w:val="nil"/>
            </w:tcBorders>
            <w:shd w:val="clear" w:color="auto" w:fill="auto"/>
            <w:tcMar>
              <w:top w:w="0" w:type="dxa"/>
              <w:left w:w="105" w:type="dxa"/>
              <w:bottom w:w="0" w:type="dxa"/>
              <w:right w:w="105" w:type="dxa"/>
            </w:tcMar>
            <w:vAlign w:val="center"/>
          </w:tcPr>
          <w:p w14:paraId="6F48CE51">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M4mm</w:t>
            </w:r>
          </w:p>
        </w:tc>
        <w:tc>
          <w:tcPr>
            <w:tcW w:w="3540" w:type="dxa"/>
            <w:tcBorders>
              <w:tl2br w:val="nil"/>
              <w:tr2bl w:val="nil"/>
            </w:tcBorders>
            <w:shd w:val="clear" w:color="auto" w:fill="auto"/>
            <w:tcMar>
              <w:top w:w="0" w:type="dxa"/>
              <w:left w:w="105" w:type="dxa"/>
              <w:bottom w:w="0" w:type="dxa"/>
              <w:right w:w="105" w:type="dxa"/>
            </w:tcMar>
            <w:vAlign w:val="center"/>
          </w:tcPr>
          <w:p w14:paraId="73EE6E7D">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GB/T 858—1988</w:t>
            </w:r>
          </w:p>
        </w:tc>
        <w:tc>
          <w:tcPr>
            <w:tcW w:w="1515" w:type="dxa"/>
            <w:tcBorders>
              <w:tl2br w:val="nil"/>
              <w:tr2bl w:val="nil"/>
            </w:tcBorders>
            <w:shd w:val="clear" w:color="auto" w:fill="auto"/>
            <w:tcMar>
              <w:top w:w="0" w:type="dxa"/>
              <w:left w:w="105" w:type="dxa"/>
              <w:bottom w:w="0" w:type="dxa"/>
              <w:right w:w="105" w:type="dxa"/>
            </w:tcMar>
            <w:vAlign w:val="center"/>
          </w:tcPr>
          <w:p w14:paraId="15A42552">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固定折页</w:t>
            </w:r>
          </w:p>
        </w:tc>
      </w:tr>
      <w:tr w14:paraId="6E143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049F69B0">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铆钉</w:t>
            </w:r>
          </w:p>
        </w:tc>
        <w:tc>
          <w:tcPr>
            <w:tcW w:w="2895" w:type="dxa"/>
            <w:tcBorders>
              <w:tl2br w:val="nil"/>
              <w:tr2bl w:val="nil"/>
            </w:tcBorders>
            <w:shd w:val="clear" w:color="auto" w:fill="auto"/>
            <w:tcMar>
              <w:top w:w="0" w:type="dxa"/>
              <w:left w:w="105" w:type="dxa"/>
              <w:bottom w:w="0" w:type="dxa"/>
              <w:right w:w="105" w:type="dxa"/>
            </w:tcMar>
            <w:vAlign w:val="center"/>
          </w:tcPr>
          <w:p w14:paraId="167BBE84">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Q215～Q235  Φ5mm</w:t>
            </w:r>
          </w:p>
        </w:tc>
        <w:tc>
          <w:tcPr>
            <w:tcW w:w="3540" w:type="dxa"/>
            <w:vMerge w:val="restart"/>
            <w:tcBorders>
              <w:tl2br w:val="nil"/>
              <w:tr2bl w:val="nil"/>
            </w:tcBorders>
            <w:shd w:val="clear" w:color="auto" w:fill="auto"/>
            <w:tcMar>
              <w:top w:w="0" w:type="dxa"/>
              <w:left w:w="105" w:type="dxa"/>
              <w:bottom w:w="0" w:type="dxa"/>
              <w:right w:w="105" w:type="dxa"/>
            </w:tcMar>
            <w:vAlign w:val="center"/>
          </w:tcPr>
          <w:p w14:paraId="51FE38AA">
            <w:pPr>
              <w:keepNext w:val="0"/>
              <w:keepLines w:val="0"/>
              <w:widowControl/>
              <w:suppressLineNumbers w:val="0"/>
              <w:jc w:val="left"/>
            </w:pPr>
          </w:p>
        </w:tc>
        <w:tc>
          <w:tcPr>
            <w:tcW w:w="1515" w:type="dxa"/>
            <w:tcBorders>
              <w:tl2br w:val="nil"/>
              <w:tr2bl w:val="nil"/>
            </w:tcBorders>
            <w:shd w:val="clear" w:color="auto" w:fill="auto"/>
            <w:tcMar>
              <w:top w:w="0" w:type="dxa"/>
              <w:left w:w="105" w:type="dxa"/>
              <w:bottom w:w="0" w:type="dxa"/>
              <w:right w:w="105" w:type="dxa"/>
            </w:tcMar>
            <w:vAlign w:val="center"/>
          </w:tcPr>
          <w:p w14:paraId="6ACEAD5B">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固定折页</w:t>
            </w:r>
          </w:p>
        </w:tc>
      </w:tr>
      <w:tr w14:paraId="6130B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211860AE">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海绵</w:t>
            </w:r>
          </w:p>
        </w:tc>
        <w:tc>
          <w:tcPr>
            <w:tcW w:w="2895" w:type="dxa"/>
            <w:tcBorders>
              <w:tl2br w:val="nil"/>
              <w:tr2bl w:val="nil"/>
            </w:tcBorders>
            <w:shd w:val="clear" w:color="auto" w:fill="auto"/>
            <w:tcMar>
              <w:top w:w="0" w:type="dxa"/>
              <w:left w:w="105" w:type="dxa"/>
              <w:bottom w:w="0" w:type="dxa"/>
              <w:right w:w="105" w:type="dxa"/>
            </w:tcMar>
            <w:vAlign w:val="center"/>
          </w:tcPr>
          <w:p w14:paraId="7624DFF3">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重体海绵</w:t>
            </w:r>
          </w:p>
        </w:tc>
        <w:tc>
          <w:tcPr>
            <w:tcW w:w="3540" w:type="dxa"/>
            <w:vMerge w:val="continue"/>
            <w:tcBorders>
              <w:tl2br w:val="nil"/>
              <w:tr2bl w:val="nil"/>
            </w:tcBorders>
            <w:shd w:val="clear" w:color="auto" w:fill="auto"/>
            <w:tcMar>
              <w:top w:w="0" w:type="dxa"/>
              <w:left w:w="105" w:type="dxa"/>
              <w:bottom w:w="0" w:type="dxa"/>
              <w:right w:w="105" w:type="dxa"/>
            </w:tcMar>
            <w:vAlign w:val="center"/>
          </w:tcPr>
          <w:p w14:paraId="2E41EB18">
            <w:pPr>
              <w:rPr>
                <w:rFonts w:hint="eastAsia" w:ascii="宋体"/>
                <w:sz w:val="24"/>
                <w:szCs w:val="24"/>
              </w:rPr>
            </w:pPr>
          </w:p>
        </w:tc>
        <w:tc>
          <w:tcPr>
            <w:tcW w:w="1515" w:type="dxa"/>
            <w:tcBorders>
              <w:tl2br w:val="nil"/>
              <w:tr2bl w:val="nil"/>
            </w:tcBorders>
            <w:shd w:val="clear" w:color="auto" w:fill="auto"/>
            <w:tcMar>
              <w:top w:w="0" w:type="dxa"/>
              <w:left w:w="105" w:type="dxa"/>
              <w:bottom w:w="0" w:type="dxa"/>
              <w:right w:w="105" w:type="dxa"/>
            </w:tcMar>
            <w:vAlign w:val="center"/>
          </w:tcPr>
          <w:p w14:paraId="7BB0748A">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填装枕芯</w:t>
            </w:r>
          </w:p>
        </w:tc>
      </w:tr>
      <w:tr w14:paraId="7B89E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3181790C">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塑料堵盖</w:t>
            </w:r>
          </w:p>
        </w:tc>
        <w:tc>
          <w:tcPr>
            <w:tcW w:w="2895" w:type="dxa"/>
            <w:tcBorders>
              <w:tl2br w:val="nil"/>
              <w:tr2bl w:val="nil"/>
            </w:tcBorders>
            <w:shd w:val="clear" w:color="auto" w:fill="auto"/>
            <w:tcMar>
              <w:top w:w="0" w:type="dxa"/>
              <w:left w:w="105" w:type="dxa"/>
              <w:bottom w:w="0" w:type="dxa"/>
              <w:right w:w="105" w:type="dxa"/>
            </w:tcMar>
            <w:vAlign w:val="center"/>
          </w:tcPr>
          <w:p w14:paraId="00771A86">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外径Φ23mm</w:t>
            </w:r>
          </w:p>
        </w:tc>
        <w:tc>
          <w:tcPr>
            <w:tcW w:w="3540" w:type="dxa"/>
            <w:vMerge w:val="continue"/>
            <w:tcBorders>
              <w:tl2br w:val="nil"/>
              <w:tr2bl w:val="nil"/>
            </w:tcBorders>
            <w:shd w:val="clear" w:color="auto" w:fill="auto"/>
            <w:tcMar>
              <w:top w:w="0" w:type="dxa"/>
              <w:left w:w="105" w:type="dxa"/>
              <w:bottom w:w="0" w:type="dxa"/>
              <w:right w:w="105" w:type="dxa"/>
            </w:tcMar>
            <w:vAlign w:val="center"/>
          </w:tcPr>
          <w:p w14:paraId="621F0B74">
            <w:pPr>
              <w:rPr>
                <w:rFonts w:hint="eastAsia" w:ascii="宋体"/>
                <w:sz w:val="24"/>
                <w:szCs w:val="24"/>
              </w:rPr>
            </w:pPr>
          </w:p>
        </w:tc>
        <w:tc>
          <w:tcPr>
            <w:tcW w:w="1515" w:type="dxa"/>
            <w:tcBorders>
              <w:tl2br w:val="nil"/>
              <w:tr2bl w:val="nil"/>
            </w:tcBorders>
            <w:shd w:val="clear" w:color="auto" w:fill="auto"/>
            <w:tcMar>
              <w:top w:w="0" w:type="dxa"/>
              <w:left w:w="105" w:type="dxa"/>
              <w:bottom w:w="0" w:type="dxa"/>
              <w:right w:w="105" w:type="dxa"/>
            </w:tcMar>
            <w:vAlign w:val="center"/>
          </w:tcPr>
          <w:p w14:paraId="4A37589F">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床脚垫</w:t>
            </w:r>
          </w:p>
        </w:tc>
      </w:tr>
      <w:tr w14:paraId="67FF9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3F01F021">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塑料垫托</w:t>
            </w:r>
          </w:p>
        </w:tc>
        <w:tc>
          <w:tcPr>
            <w:tcW w:w="2895" w:type="dxa"/>
            <w:tcBorders>
              <w:tl2br w:val="nil"/>
              <w:tr2bl w:val="nil"/>
            </w:tcBorders>
            <w:shd w:val="clear" w:color="auto" w:fill="auto"/>
            <w:tcMar>
              <w:top w:w="0" w:type="dxa"/>
              <w:left w:w="105" w:type="dxa"/>
              <w:bottom w:w="0" w:type="dxa"/>
              <w:right w:w="105" w:type="dxa"/>
            </w:tcMar>
            <w:vAlign w:val="center"/>
          </w:tcPr>
          <w:p w14:paraId="1B0F1EE1">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w:t>
            </w:r>
          </w:p>
        </w:tc>
        <w:tc>
          <w:tcPr>
            <w:tcW w:w="3540" w:type="dxa"/>
            <w:vMerge w:val="continue"/>
            <w:tcBorders>
              <w:tl2br w:val="nil"/>
              <w:tr2bl w:val="nil"/>
            </w:tcBorders>
            <w:shd w:val="clear" w:color="auto" w:fill="auto"/>
            <w:tcMar>
              <w:top w:w="0" w:type="dxa"/>
              <w:left w:w="105" w:type="dxa"/>
              <w:bottom w:w="0" w:type="dxa"/>
              <w:right w:w="105" w:type="dxa"/>
            </w:tcMar>
            <w:vAlign w:val="center"/>
          </w:tcPr>
          <w:p w14:paraId="6567915F">
            <w:pPr>
              <w:rPr>
                <w:rFonts w:hint="eastAsia" w:ascii="宋体"/>
                <w:sz w:val="24"/>
                <w:szCs w:val="24"/>
              </w:rPr>
            </w:pPr>
          </w:p>
        </w:tc>
        <w:tc>
          <w:tcPr>
            <w:tcW w:w="1515" w:type="dxa"/>
            <w:tcBorders>
              <w:tl2br w:val="nil"/>
              <w:tr2bl w:val="nil"/>
            </w:tcBorders>
            <w:shd w:val="clear" w:color="auto" w:fill="auto"/>
            <w:tcMar>
              <w:top w:w="0" w:type="dxa"/>
              <w:left w:w="105" w:type="dxa"/>
              <w:bottom w:w="0" w:type="dxa"/>
              <w:right w:w="105" w:type="dxa"/>
            </w:tcMar>
            <w:vAlign w:val="center"/>
          </w:tcPr>
          <w:p w14:paraId="785701F0">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垫床脚</w:t>
            </w:r>
          </w:p>
        </w:tc>
      </w:tr>
    </w:tbl>
    <w:p w14:paraId="3FF4E8E8">
      <w:pPr>
        <w:pStyle w:val="5"/>
        <w:keepNext w:val="0"/>
        <w:keepLines w:val="0"/>
        <w:widowControl/>
        <w:suppressLineNumbers w:val="0"/>
        <w:spacing w:before="0" w:beforeAutospacing="0" w:after="150" w:afterAutospacing="0" w:line="555" w:lineRule="atLeast"/>
        <w:ind w:left="0" w:right="0" w:firstLine="555"/>
      </w:pPr>
    </w:p>
    <w:p w14:paraId="1AB5E881">
      <w:pPr>
        <w:pStyle w:val="5"/>
        <w:keepNext w:val="0"/>
        <w:keepLines w:val="0"/>
        <w:widowControl/>
        <w:suppressLineNumbers w:val="0"/>
        <w:spacing w:before="0" w:beforeAutospacing="0" w:after="150" w:afterAutospacing="0" w:line="555" w:lineRule="atLeast"/>
        <w:ind w:left="0" w:right="0" w:firstLine="555"/>
        <w:rPr>
          <w:rFonts w:hint="eastAsia" w:ascii="宋体" w:hAnsi="宋体" w:eastAsia="宋体" w:cs="宋体"/>
          <w:sz w:val="28"/>
          <w:szCs w:val="28"/>
        </w:rPr>
      </w:pPr>
    </w:p>
    <w:p w14:paraId="313CEBFF">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1.3外观质量</w:t>
      </w:r>
    </w:p>
    <w:p w14:paraId="6EBD3497">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1.3.1外观应规整、平展、整洁。</w:t>
      </w:r>
    </w:p>
    <w:p w14:paraId="33D6190B">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1.3.2面料颜色为天蓝PANTONG 19—4049成品表面色差按GB/T 250—2008检验时不得低于4级。各种线带与主体材料的色差不得低于3级。</w:t>
      </w:r>
    </w:p>
    <w:p w14:paraId="1AEE2053">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1.3.3白色印字应端正,清晰,色度饱满,牢固,不得露底色。</w:t>
      </w:r>
    </w:p>
    <w:p w14:paraId="06590E7D">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1.4缝制要求</w:t>
      </w:r>
    </w:p>
    <w:p w14:paraId="753B44F5">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1.4.1在床头正面缝制一个能装入一块长度为800mm，宽度为500mm，厚度为4mm的塑料板的贴袋，并在开口部位上部缝制一个袋盖，通过搭扣带扣合。枕头高60mm，与缝制在床头背面上部居中部位的锦丝搭扣带扣合。</w:t>
      </w:r>
    </w:p>
    <w:p w14:paraId="39237D50">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1.4.2在床面背部缝制两条采用插扣连接、三道梁调节的束紧带，束紧带净长1700mm。带子宽度为50mm，插扣穿带孔内径大于50mm。</w:t>
      </w:r>
    </w:p>
    <w:p w14:paraId="5EED7D86">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1.4.3缝纫线路须规整、线迹直顺针码均匀、缝制牢固，缝头宽窄一致，不得有开线、断线、跳线、死折、残留针眼、出套、毛漏及掉道等缺陷。</w:t>
      </w:r>
    </w:p>
    <w:p w14:paraId="7701034A">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1.4.4起止针须回针3道～5道，长度为10mm～15mm，断线接头处须重缝20mm～30mm。</w:t>
      </w:r>
    </w:p>
    <w:p w14:paraId="020BF0DB">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1.4.5针码密度，7针/30mm～10针/30mm，上下线松紧应一致。</w:t>
      </w:r>
    </w:p>
    <w:p w14:paraId="39FDA432">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1.4.6明线距边宽1mm～2mm，缝后应平展。</w:t>
      </w:r>
    </w:p>
    <w:p w14:paraId="02AC64D0">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1.4.7滚条包边应包紧扎实。</w:t>
      </w:r>
    </w:p>
    <w:p w14:paraId="669ADE4F">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1.4.8各线带缝制部位应加垫布。</w:t>
      </w:r>
    </w:p>
    <w:p w14:paraId="139D2D34">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1.5床架要求</w:t>
      </w:r>
    </w:p>
    <w:p w14:paraId="7D5C3BCB">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    1.5.1床架结构，见图4</w:t>
      </w:r>
    </w:p>
    <w:p w14:paraId="62B42B7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drawing>
          <wp:inline distT="0" distB="0" distL="114300" distR="114300">
            <wp:extent cx="4381500" cy="4610100"/>
            <wp:effectExtent l="0" t="0" r="0" b="0"/>
            <wp:docPr id="17" name="图片 17" descr="1562144827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62144827342.png"/>
                    <pic:cNvPicPr>
                      <a:picLocks noChangeAspect="1"/>
                    </pic:cNvPicPr>
                  </pic:nvPicPr>
                  <pic:blipFill>
                    <a:blip r:embed="rId14"/>
                    <a:stretch>
                      <a:fillRect/>
                    </a:stretch>
                  </pic:blipFill>
                  <pic:spPr>
                    <a:xfrm>
                      <a:off x="0" y="0"/>
                      <a:ext cx="4381500" cy="4610100"/>
                    </a:xfrm>
                    <a:prstGeom prst="rect">
                      <a:avLst/>
                    </a:prstGeom>
                    <a:noFill/>
                    <a:ln w="9525">
                      <a:noFill/>
                    </a:ln>
                  </pic:spPr>
                </pic:pic>
              </a:graphicData>
            </a:graphic>
          </wp:inline>
        </w:drawing>
      </w:r>
    </w:p>
    <w:p w14:paraId="429CD617">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图4 床架结构</w:t>
      </w:r>
    </w:p>
    <w:p w14:paraId="3D42052A">
      <w:pPr>
        <w:pStyle w:val="5"/>
        <w:keepNext w:val="0"/>
        <w:keepLines w:val="0"/>
        <w:widowControl/>
        <w:suppressLineNumbers w:val="0"/>
        <w:spacing w:before="0" w:beforeAutospacing="0" w:after="150" w:afterAutospacing="0"/>
        <w:ind w:left="0" w:right="0"/>
      </w:pPr>
    </w:p>
    <w:p w14:paraId="103016C3">
      <w:pPr>
        <w:pStyle w:val="5"/>
        <w:keepNext w:val="0"/>
        <w:keepLines w:val="0"/>
        <w:widowControl/>
        <w:suppressLineNumbers w:val="0"/>
        <w:spacing w:before="0" w:beforeAutospacing="0" w:after="150" w:afterAutospacing="0"/>
        <w:ind w:left="0" w:right="0"/>
      </w:pPr>
    </w:p>
    <w:p w14:paraId="6CFF8408">
      <w:pPr>
        <w:pStyle w:val="5"/>
        <w:keepNext w:val="0"/>
        <w:keepLines w:val="0"/>
        <w:widowControl/>
        <w:suppressLineNumbers w:val="0"/>
        <w:spacing w:before="0" w:beforeAutospacing="0" w:after="150" w:afterAutospacing="0" w:line="555" w:lineRule="atLeast"/>
        <w:ind w:left="0" w:right="0" w:firstLine="555"/>
        <w:rPr>
          <w:rFonts w:hint="eastAsia" w:ascii="宋体" w:hAnsi="宋体" w:eastAsia="宋体" w:cs="宋体"/>
          <w:sz w:val="28"/>
          <w:szCs w:val="28"/>
        </w:rPr>
      </w:pPr>
    </w:p>
    <w:p w14:paraId="070F4CBE">
      <w:pPr>
        <w:pStyle w:val="5"/>
        <w:keepNext w:val="0"/>
        <w:keepLines w:val="0"/>
        <w:widowControl/>
        <w:suppressLineNumbers w:val="0"/>
        <w:spacing w:before="0" w:beforeAutospacing="0" w:after="150" w:afterAutospacing="0" w:line="555" w:lineRule="atLeast"/>
        <w:ind w:left="0" w:right="0" w:firstLine="555"/>
        <w:rPr>
          <w:rFonts w:hint="eastAsia" w:ascii="宋体" w:hAnsi="宋体" w:eastAsia="宋体" w:cs="宋体"/>
          <w:sz w:val="28"/>
          <w:szCs w:val="28"/>
        </w:rPr>
      </w:pPr>
    </w:p>
    <w:p w14:paraId="11ABADF4">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500" w:lineRule="exact"/>
        <w:ind w:left="0" w:right="0" w:firstLine="556"/>
        <w:textAlignment w:val="auto"/>
      </w:pPr>
      <w:r>
        <w:rPr>
          <w:rFonts w:hint="eastAsia" w:ascii="宋体" w:hAnsi="宋体" w:eastAsia="宋体" w:cs="宋体"/>
          <w:sz w:val="28"/>
          <w:szCs w:val="28"/>
        </w:rPr>
        <w:t>1.5.1床整体支承后水平偏差不得超过5mm。</w:t>
      </w:r>
    </w:p>
    <w:p w14:paraId="2E61F516">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500" w:lineRule="exact"/>
        <w:ind w:left="0" w:right="0" w:firstLine="556"/>
        <w:textAlignment w:val="auto"/>
      </w:pPr>
      <w:r>
        <w:rPr>
          <w:rFonts w:hint="eastAsia" w:ascii="宋体" w:hAnsi="宋体" w:eastAsia="宋体" w:cs="宋体"/>
          <w:sz w:val="28"/>
          <w:szCs w:val="28"/>
        </w:rPr>
        <w:t>1.5.2床架、床脚及折页各配件喷塑前需除油、除锈、磷化处理后再进行喷塑环氧树脂处理，颜色为本白，色相应均匀、漆膜应饱满、光洁、均匀、牢固，不得有露底、积粉、流挂、皱皮等缺陷。</w:t>
      </w:r>
    </w:p>
    <w:p w14:paraId="0D0F5504">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500" w:lineRule="exact"/>
        <w:ind w:left="0" w:right="0" w:firstLine="556"/>
        <w:textAlignment w:val="auto"/>
      </w:pPr>
      <w:r>
        <w:rPr>
          <w:rFonts w:hint="eastAsia" w:ascii="宋体" w:hAnsi="宋体" w:eastAsia="宋体" w:cs="宋体"/>
          <w:sz w:val="28"/>
          <w:szCs w:val="28"/>
        </w:rPr>
        <w:t>1.5.3床架、床脚</w:t>
      </w:r>
      <w:r>
        <w:rPr>
          <w:rFonts w:hint="eastAsia" w:ascii="宋体" w:hAnsi="宋体" w:eastAsia="宋体" w:cs="宋体"/>
          <w:spacing w:val="0"/>
          <w:sz w:val="28"/>
          <w:szCs w:val="28"/>
        </w:rPr>
        <w:t>100°～</w:t>
      </w:r>
      <w:r>
        <w:rPr>
          <w:rFonts w:hint="eastAsia" w:ascii="宋体" w:hAnsi="宋体" w:eastAsia="宋体" w:cs="宋体"/>
          <w:sz w:val="28"/>
          <w:szCs w:val="28"/>
        </w:rPr>
        <w:t>105°弯曲部位应规整，各配件表面应光洁，不得有毛刺、锐角。管材不得有裂纹。</w:t>
      </w:r>
    </w:p>
    <w:p w14:paraId="2F1D2259">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500" w:lineRule="exact"/>
        <w:ind w:left="0" w:right="0" w:firstLine="556"/>
        <w:textAlignment w:val="auto"/>
      </w:pPr>
      <w:r>
        <w:rPr>
          <w:rFonts w:hint="eastAsia" w:ascii="宋体" w:hAnsi="宋体" w:eastAsia="宋体" w:cs="宋体"/>
          <w:sz w:val="28"/>
          <w:szCs w:val="28"/>
        </w:rPr>
        <w:t>1.5.4折页与床架的螺钉连接松紧适度，折页与床脚的铆合应牢固。铆钉应端正圆滑。</w:t>
      </w:r>
    </w:p>
    <w:p w14:paraId="4F204A80">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500" w:lineRule="exact"/>
        <w:ind w:left="0" w:right="0" w:firstLine="556"/>
        <w:textAlignment w:val="auto"/>
        <w:rPr>
          <w:rFonts w:hint="eastAsia" w:ascii="宋体" w:hAnsi="宋体" w:eastAsia="宋体" w:cs="宋体"/>
          <w:sz w:val="28"/>
          <w:szCs w:val="28"/>
        </w:rPr>
      </w:pPr>
      <w:r>
        <w:rPr>
          <w:rFonts w:hint="eastAsia" w:ascii="宋体" w:hAnsi="宋体" w:eastAsia="宋体" w:cs="宋体"/>
          <w:sz w:val="28"/>
          <w:szCs w:val="28"/>
        </w:rPr>
        <w:t>1.5.5活动三节环经电镀锌及钝化处理。镀层应细致、均匀，不得有镀层粗糙、烧焦、起泡、裂纹、脱落等缺陷。</w:t>
      </w:r>
    </w:p>
    <w:p w14:paraId="45B32311">
      <w:pPr>
        <w:pStyle w:val="5"/>
        <w:keepNext w:val="0"/>
        <w:keepLines w:val="0"/>
        <w:widowControl/>
        <w:suppressLineNumbers w:val="0"/>
        <w:spacing w:before="0" w:beforeAutospacing="0" w:after="150" w:afterAutospacing="0"/>
        <w:ind w:left="0" w:right="0"/>
        <w:rPr>
          <w:rFonts w:hint="eastAsia" w:ascii="宋体" w:hAnsi="宋体" w:eastAsia="宋体" w:cs="宋体"/>
          <w:sz w:val="21"/>
          <w:szCs w:val="21"/>
        </w:rPr>
      </w:pPr>
      <w:r>
        <w:rPr>
          <w:rFonts w:hint="eastAsia" w:ascii="宋体" w:hAnsi="宋体" w:eastAsia="宋体" w:cs="宋体"/>
          <w:sz w:val="28"/>
          <w:szCs w:val="28"/>
        </w:rPr>
        <w:t>1.5.6折叠连接件材料规格为Q195～ Q235，结构见图5-6。</w:t>
      </w:r>
    </w:p>
    <w:p w14:paraId="54B723A6">
      <w:pPr>
        <w:pStyle w:val="5"/>
        <w:keepNext w:val="0"/>
        <w:keepLines w:val="0"/>
        <w:widowControl/>
        <w:suppressLineNumbers w:val="0"/>
        <w:spacing w:before="0" w:beforeAutospacing="0" w:after="150" w:afterAutospacing="0"/>
        <w:ind w:left="0" w:right="0"/>
        <w:rPr>
          <w:rFonts w:hint="eastAsia" w:ascii="宋体" w:hAnsi="宋体" w:eastAsia="宋体" w:cs="宋体"/>
          <w:sz w:val="21"/>
          <w:szCs w:val="21"/>
        </w:rPr>
      </w:pPr>
      <w:r>
        <w:rPr>
          <w:rFonts w:hint="eastAsia" w:ascii="宋体" w:hAnsi="宋体" w:eastAsia="宋体" w:cs="宋体"/>
          <w:sz w:val="28"/>
          <w:szCs w:val="28"/>
        </w:rPr>
        <w:drawing>
          <wp:inline distT="0" distB="0" distL="114300" distR="114300">
            <wp:extent cx="2502535" cy="3135630"/>
            <wp:effectExtent l="0" t="0" r="12065" b="7620"/>
            <wp:docPr id="19" name="图片 19" descr="1562144985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62144985628.png"/>
                    <pic:cNvPicPr>
                      <a:picLocks noChangeAspect="1"/>
                    </pic:cNvPicPr>
                  </pic:nvPicPr>
                  <pic:blipFill>
                    <a:blip r:embed="rId15"/>
                    <a:stretch>
                      <a:fillRect/>
                    </a:stretch>
                  </pic:blipFill>
                  <pic:spPr>
                    <a:xfrm>
                      <a:off x="0" y="0"/>
                      <a:ext cx="2502535" cy="3135630"/>
                    </a:xfrm>
                    <a:prstGeom prst="rect">
                      <a:avLst/>
                    </a:prstGeom>
                    <a:noFill/>
                    <a:ln w="9525">
                      <a:noFill/>
                    </a:ln>
                  </pic:spPr>
                </pic:pic>
              </a:graphicData>
            </a:graphic>
          </wp:inline>
        </w:drawing>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drawing>
          <wp:inline distT="0" distB="0" distL="114300" distR="114300">
            <wp:extent cx="2431415" cy="3505200"/>
            <wp:effectExtent l="0" t="0" r="6985" b="0"/>
            <wp:docPr id="18" name="图片 18" descr="15621449767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62144976793.png"/>
                    <pic:cNvPicPr>
                      <a:picLocks noChangeAspect="1"/>
                    </pic:cNvPicPr>
                  </pic:nvPicPr>
                  <pic:blipFill>
                    <a:blip r:embed="rId16"/>
                    <a:stretch>
                      <a:fillRect/>
                    </a:stretch>
                  </pic:blipFill>
                  <pic:spPr>
                    <a:xfrm>
                      <a:off x="0" y="0"/>
                      <a:ext cx="2431415" cy="3505200"/>
                    </a:xfrm>
                    <a:prstGeom prst="rect">
                      <a:avLst/>
                    </a:prstGeom>
                    <a:noFill/>
                    <a:ln w="9525">
                      <a:noFill/>
                    </a:ln>
                  </pic:spPr>
                </pic:pic>
              </a:graphicData>
            </a:graphic>
          </wp:inline>
        </w:drawing>
      </w:r>
    </w:p>
    <w:p w14:paraId="231F4A64">
      <w:pPr>
        <w:pStyle w:val="5"/>
        <w:keepNext w:val="0"/>
        <w:keepLines w:val="0"/>
        <w:widowControl/>
        <w:suppressLineNumbers w:val="0"/>
        <w:spacing w:before="0" w:beforeAutospacing="0" w:after="150" w:afterAutospacing="0"/>
        <w:ind w:left="0" w:right="0"/>
        <w:rPr>
          <w:rFonts w:hint="eastAsia" w:ascii="宋体" w:hAnsi="宋体" w:eastAsia="宋体" w:cs="宋体"/>
          <w:sz w:val="21"/>
          <w:szCs w:val="21"/>
        </w:rPr>
      </w:pPr>
    </w:p>
    <w:p w14:paraId="4E8161C7">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图5-6 折叠连接件结构图</w:t>
      </w:r>
    </w:p>
    <w:p w14:paraId="3711080E">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14:paraId="0391A97C">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56"/>
        <w:textAlignment w:val="auto"/>
      </w:pPr>
      <w:r>
        <w:rPr>
          <w:rFonts w:hint="eastAsia" w:ascii="宋体" w:hAnsi="宋体" w:eastAsia="宋体" w:cs="宋体"/>
          <w:sz w:val="28"/>
          <w:szCs w:val="28"/>
        </w:rPr>
        <w:t>1.5.7各冲压成型件应规整、边缘不得有毛刺。</w:t>
      </w:r>
    </w:p>
    <w:p w14:paraId="34C053B6">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56"/>
        <w:textAlignment w:val="auto"/>
      </w:pPr>
      <w:r>
        <w:rPr>
          <w:rFonts w:hint="eastAsia" w:ascii="宋体" w:hAnsi="宋体" w:eastAsia="宋体" w:cs="宋体"/>
          <w:sz w:val="28"/>
          <w:szCs w:val="28"/>
        </w:rPr>
        <w:t>1.6理化性能</w:t>
      </w:r>
    </w:p>
    <w:p w14:paraId="249829CD">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56"/>
        <w:textAlignment w:val="auto"/>
        <w:rPr>
          <w:color w:val="auto"/>
        </w:rPr>
      </w:pPr>
      <w:r>
        <w:rPr>
          <w:rFonts w:hint="eastAsia" w:ascii="宋体" w:hAnsi="宋体" w:eastAsia="宋体" w:cs="宋体"/>
          <w:sz w:val="28"/>
          <w:szCs w:val="28"/>
        </w:rPr>
        <w:t>1.</w:t>
      </w:r>
      <w:r>
        <w:rPr>
          <w:rFonts w:hint="eastAsia" w:ascii="宋体" w:hAnsi="宋体" w:eastAsia="宋体" w:cs="宋体"/>
          <w:color w:val="auto"/>
          <w:sz w:val="28"/>
          <w:szCs w:val="28"/>
        </w:rPr>
        <w:t>6.1面料规格及性能指标应符合附录B的规定。</w:t>
      </w:r>
    </w:p>
    <w:p w14:paraId="4F1D4F7C">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56"/>
        <w:textAlignment w:val="auto"/>
      </w:pPr>
      <w:r>
        <w:rPr>
          <w:rFonts w:hint="eastAsia" w:ascii="宋体" w:hAnsi="宋体" w:eastAsia="宋体" w:cs="宋体"/>
          <w:color w:val="auto"/>
          <w:sz w:val="28"/>
          <w:szCs w:val="28"/>
        </w:rPr>
        <w:t>1.6.2配件的理化性能见表2。</w:t>
      </w:r>
    </w:p>
    <w:p w14:paraId="7C06EBA8">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56"/>
        <w:textAlignment w:val="auto"/>
      </w:pPr>
      <w:r>
        <w:rPr>
          <w:rFonts w:hint="eastAsia" w:ascii="宋体" w:hAnsi="宋体" w:eastAsia="宋体" w:cs="宋体"/>
          <w:sz w:val="28"/>
          <w:szCs w:val="28"/>
        </w:rPr>
        <w:t>1.6.3各种线带断裂强力应符合表1的规定。</w:t>
      </w:r>
    </w:p>
    <w:p w14:paraId="5C619734">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56"/>
        <w:textAlignment w:val="auto"/>
      </w:pPr>
      <w:r>
        <w:rPr>
          <w:rFonts w:hint="eastAsia" w:ascii="宋体" w:hAnsi="宋体" w:eastAsia="宋体" w:cs="宋体"/>
          <w:sz w:val="28"/>
          <w:szCs w:val="28"/>
        </w:rPr>
        <w:t>1.6.4锦丝搭扣带性能指标应符合表1的规定。</w:t>
      </w:r>
    </w:p>
    <w:p w14:paraId="5B567D0B">
      <w:pPr>
        <w:pStyle w:val="5"/>
        <w:keepNext w:val="0"/>
        <w:keepLines w:val="0"/>
        <w:widowControl/>
        <w:suppressLineNumbers w:val="0"/>
        <w:spacing w:before="0" w:beforeAutospacing="0" w:after="0" w:afterAutospacing="0"/>
        <w:ind w:left="0" w:right="0"/>
        <w:rPr>
          <w:color w:val="auto"/>
        </w:rPr>
      </w:pPr>
      <w:r>
        <w:rPr>
          <w:rFonts w:hint="eastAsia" w:ascii="宋体" w:hAnsi="宋体" w:eastAsia="宋体" w:cs="宋体"/>
          <w:color w:val="auto"/>
          <w:sz w:val="21"/>
          <w:szCs w:val="21"/>
        </w:rPr>
        <w:t>表</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配件理化性能</w:t>
      </w:r>
    </w:p>
    <w:tbl>
      <w:tblPr>
        <w:tblStyle w:val="6"/>
        <w:tblW w:w="8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2520"/>
        <w:gridCol w:w="2220"/>
        <w:gridCol w:w="3975"/>
      </w:tblGrid>
      <w:tr w14:paraId="51465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70" w:hRule="atLeast"/>
        </w:trPr>
        <w:tc>
          <w:tcPr>
            <w:tcW w:w="2520" w:type="dxa"/>
            <w:tcBorders>
              <w:tl2br w:val="nil"/>
              <w:tr2bl w:val="nil"/>
            </w:tcBorders>
            <w:shd w:val="clear" w:color="auto" w:fill="auto"/>
            <w:tcMar>
              <w:top w:w="0" w:type="dxa"/>
              <w:left w:w="105" w:type="dxa"/>
              <w:bottom w:w="0" w:type="dxa"/>
              <w:right w:w="105" w:type="dxa"/>
            </w:tcMar>
            <w:vAlign w:val="center"/>
          </w:tcPr>
          <w:p w14:paraId="49DB0D10">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部件名 称</w:t>
            </w:r>
          </w:p>
        </w:tc>
        <w:tc>
          <w:tcPr>
            <w:tcW w:w="2220" w:type="dxa"/>
            <w:tcBorders>
              <w:tl2br w:val="nil"/>
              <w:tr2bl w:val="nil"/>
            </w:tcBorders>
            <w:shd w:val="clear" w:color="auto" w:fill="auto"/>
            <w:tcMar>
              <w:top w:w="0" w:type="dxa"/>
              <w:left w:w="105" w:type="dxa"/>
              <w:bottom w:w="0" w:type="dxa"/>
              <w:right w:w="105" w:type="dxa"/>
            </w:tcMar>
            <w:vAlign w:val="center"/>
          </w:tcPr>
          <w:p w14:paraId="50A8C68F">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项目</w:t>
            </w:r>
          </w:p>
        </w:tc>
        <w:tc>
          <w:tcPr>
            <w:tcW w:w="3975" w:type="dxa"/>
            <w:tcBorders>
              <w:tl2br w:val="nil"/>
              <w:tr2bl w:val="nil"/>
            </w:tcBorders>
            <w:shd w:val="clear" w:color="auto" w:fill="auto"/>
            <w:tcMar>
              <w:top w:w="0" w:type="dxa"/>
              <w:left w:w="105" w:type="dxa"/>
              <w:bottom w:w="0" w:type="dxa"/>
              <w:right w:w="105" w:type="dxa"/>
            </w:tcMar>
            <w:vAlign w:val="center"/>
          </w:tcPr>
          <w:p w14:paraId="4196F089">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指标</w:t>
            </w:r>
          </w:p>
        </w:tc>
      </w:tr>
      <w:tr w14:paraId="4E2E5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70" w:hRule="atLeast"/>
        </w:trPr>
        <w:tc>
          <w:tcPr>
            <w:tcW w:w="2520" w:type="dxa"/>
            <w:vMerge w:val="restart"/>
            <w:tcBorders>
              <w:tl2br w:val="nil"/>
              <w:tr2bl w:val="nil"/>
            </w:tcBorders>
            <w:shd w:val="clear" w:color="auto" w:fill="auto"/>
            <w:tcMar>
              <w:top w:w="0" w:type="dxa"/>
              <w:left w:w="105" w:type="dxa"/>
              <w:bottom w:w="0" w:type="dxa"/>
              <w:right w:w="105" w:type="dxa"/>
            </w:tcMar>
            <w:vAlign w:val="center"/>
          </w:tcPr>
          <w:p w14:paraId="4ABA1A2F">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喷塑件</w:t>
            </w:r>
          </w:p>
        </w:tc>
        <w:tc>
          <w:tcPr>
            <w:tcW w:w="2220" w:type="dxa"/>
            <w:tcBorders>
              <w:tl2br w:val="nil"/>
              <w:tr2bl w:val="nil"/>
            </w:tcBorders>
            <w:shd w:val="clear" w:color="auto" w:fill="auto"/>
            <w:tcMar>
              <w:top w:w="0" w:type="dxa"/>
              <w:left w:w="105" w:type="dxa"/>
              <w:bottom w:w="0" w:type="dxa"/>
              <w:right w:w="105" w:type="dxa"/>
            </w:tcMar>
            <w:vAlign w:val="center"/>
          </w:tcPr>
          <w:p w14:paraId="08F19FB5">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喷塑漆膜厚度，μm</w:t>
            </w:r>
          </w:p>
        </w:tc>
        <w:tc>
          <w:tcPr>
            <w:tcW w:w="3975" w:type="dxa"/>
            <w:tcBorders>
              <w:tl2br w:val="nil"/>
              <w:tr2bl w:val="nil"/>
            </w:tcBorders>
            <w:shd w:val="clear" w:color="auto" w:fill="auto"/>
            <w:tcMar>
              <w:top w:w="0" w:type="dxa"/>
              <w:left w:w="105" w:type="dxa"/>
              <w:bottom w:w="0" w:type="dxa"/>
              <w:right w:w="105" w:type="dxa"/>
            </w:tcMar>
            <w:vAlign w:val="center"/>
          </w:tcPr>
          <w:p w14:paraId="65BC8FB0">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≥35</w:t>
            </w:r>
          </w:p>
        </w:tc>
      </w:tr>
      <w:tr w14:paraId="2BF71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70" w:hRule="atLeast"/>
        </w:trPr>
        <w:tc>
          <w:tcPr>
            <w:tcW w:w="2520" w:type="dxa"/>
            <w:vMerge w:val="continue"/>
            <w:tcBorders>
              <w:tl2br w:val="nil"/>
              <w:tr2bl w:val="nil"/>
            </w:tcBorders>
            <w:shd w:val="clear" w:color="auto" w:fill="auto"/>
            <w:tcMar>
              <w:top w:w="0" w:type="dxa"/>
              <w:left w:w="105" w:type="dxa"/>
              <w:bottom w:w="0" w:type="dxa"/>
              <w:right w:w="105" w:type="dxa"/>
            </w:tcMar>
            <w:vAlign w:val="center"/>
          </w:tcPr>
          <w:p w14:paraId="06E4C546">
            <w:pPr>
              <w:rPr>
                <w:rFonts w:hint="eastAsia" w:ascii="宋体"/>
                <w:sz w:val="24"/>
                <w:szCs w:val="24"/>
              </w:rPr>
            </w:pPr>
          </w:p>
        </w:tc>
        <w:tc>
          <w:tcPr>
            <w:tcW w:w="2220" w:type="dxa"/>
            <w:tcBorders>
              <w:tl2br w:val="nil"/>
              <w:tr2bl w:val="nil"/>
            </w:tcBorders>
            <w:shd w:val="clear" w:color="auto" w:fill="auto"/>
            <w:tcMar>
              <w:top w:w="0" w:type="dxa"/>
              <w:left w:w="105" w:type="dxa"/>
              <w:bottom w:w="0" w:type="dxa"/>
              <w:right w:w="105" w:type="dxa"/>
            </w:tcMar>
            <w:vAlign w:val="center"/>
          </w:tcPr>
          <w:p w14:paraId="7F555D44">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喷塑漆膜耐腐蚀</w:t>
            </w:r>
          </w:p>
        </w:tc>
        <w:tc>
          <w:tcPr>
            <w:tcW w:w="3975" w:type="dxa"/>
            <w:tcBorders>
              <w:tl2br w:val="nil"/>
              <w:tr2bl w:val="nil"/>
            </w:tcBorders>
            <w:shd w:val="clear" w:color="auto" w:fill="auto"/>
            <w:tcMar>
              <w:top w:w="0" w:type="dxa"/>
              <w:left w:w="105" w:type="dxa"/>
              <w:bottom w:w="0" w:type="dxa"/>
              <w:right w:w="105" w:type="dxa"/>
            </w:tcMar>
            <w:vAlign w:val="center"/>
          </w:tcPr>
          <w:p w14:paraId="3593C590">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96h膜层不起泡、不脱落，无锈斑</w:t>
            </w:r>
          </w:p>
        </w:tc>
      </w:tr>
      <w:tr w14:paraId="1E18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70" w:hRule="atLeast"/>
        </w:trPr>
        <w:tc>
          <w:tcPr>
            <w:tcW w:w="2520" w:type="dxa"/>
            <w:vMerge w:val="restart"/>
            <w:tcBorders>
              <w:tl2br w:val="nil"/>
              <w:tr2bl w:val="nil"/>
            </w:tcBorders>
            <w:shd w:val="clear" w:color="auto" w:fill="auto"/>
            <w:tcMar>
              <w:top w:w="0" w:type="dxa"/>
              <w:left w:w="105" w:type="dxa"/>
              <w:bottom w:w="0" w:type="dxa"/>
              <w:right w:w="105" w:type="dxa"/>
            </w:tcMar>
            <w:vAlign w:val="center"/>
          </w:tcPr>
          <w:p w14:paraId="25F7D5C1">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电镀锌配件</w:t>
            </w:r>
          </w:p>
        </w:tc>
        <w:tc>
          <w:tcPr>
            <w:tcW w:w="2220" w:type="dxa"/>
            <w:tcBorders>
              <w:tl2br w:val="nil"/>
              <w:tr2bl w:val="nil"/>
            </w:tcBorders>
            <w:shd w:val="clear" w:color="auto" w:fill="auto"/>
            <w:tcMar>
              <w:top w:w="0" w:type="dxa"/>
              <w:left w:w="105" w:type="dxa"/>
              <w:bottom w:w="0" w:type="dxa"/>
              <w:right w:w="105" w:type="dxa"/>
            </w:tcMar>
            <w:vAlign w:val="center"/>
          </w:tcPr>
          <w:p w14:paraId="1D17D40A">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锌镀层厚度，μm</w:t>
            </w:r>
          </w:p>
        </w:tc>
        <w:tc>
          <w:tcPr>
            <w:tcW w:w="3975" w:type="dxa"/>
            <w:tcBorders>
              <w:tl2br w:val="nil"/>
              <w:tr2bl w:val="nil"/>
            </w:tcBorders>
            <w:shd w:val="clear" w:color="auto" w:fill="auto"/>
            <w:tcMar>
              <w:top w:w="0" w:type="dxa"/>
              <w:left w:w="105" w:type="dxa"/>
              <w:bottom w:w="0" w:type="dxa"/>
              <w:right w:w="105" w:type="dxa"/>
            </w:tcMar>
            <w:vAlign w:val="center"/>
          </w:tcPr>
          <w:p w14:paraId="111063CC">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≥15</w:t>
            </w:r>
          </w:p>
        </w:tc>
      </w:tr>
      <w:tr w14:paraId="109A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70" w:hRule="atLeast"/>
        </w:trPr>
        <w:tc>
          <w:tcPr>
            <w:tcW w:w="2520" w:type="dxa"/>
            <w:vMerge w:val="continue"/>
            <w:tcBorders>
              <w:tl2br w:val="nil"/>
              <w:tr2bl w:val="nil"/>
            </w:tcBorders>
            <w:shd w:val="clear" w:color="auto" w:fill="auto"/>
            <w:tcMar>
              <w:top w:w="0" w:type="dxa"/>
              <w:left w:w="105" w:type="dxa"/>
              <w:bottom w:w="0" w:type="dxa"/>
              <w:right w:w="105" w:type="dxa"/>
            </w:tcMar>
            <w:vAlign w:val="center"/>
          </w:tcPr>
          <w:p w14:paraId="19A71788">
            <w:pPr>
              <w:rPr>
                <w:rFonts w:hint="eastAsia" w:ascii="宋体"/>
                <w:sz w:val="24"/>
                <w:szCs w:val="24"/>
              </w:rPr>
            </w:pPr>
          </w:p>
        </w:tc>
        <w:tc>
          <w:tcPr>
            <w:tcW w:w="2220" w:type="dxa"/>
            <w:tcBorders>
              <w:tl2br w:val="nil"/>
              <w:tr2bl w:val="nil"/>
            </w:tcBorders>
            <w:shd w:val="clear" w:color="auto" w:fill="auto"/>
            <w:tcMar>
              <w:top w:w="0" w:type="dxa"/>
              <w:left w:w="105" w:type="dxa"/>
              <w:bottom w:w="0" w:type="dxa"/>
              <w:right w:w="105" w:type="dxa"/>
            </w:tcMar>
            <w:vAlign w:val="center"/>
          </w:tcPr>
          <w:p w14:paraId="2DE3B443">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锌镀层耐腐蚀</w:t>
            </w:r>
          </w:p>
        </w:tc>
        <w:tc>
          <w:tcPr>
            <w:tcW w:w="3975" w:type="dxa"/>
            <w:tcBorders>
              <w:tl2br w:val="nil"/>
              <w:tr2bl w:val="nil"/>
            </w:tcBorders>
            <w:shd w:val="clear" w:color="auto" w:fill="auto"/>
            <w:tcMar>
              <w:top w:w="0" w:type="dxa"/>
              <w:left w:w="105" w:type="dxa"/>
              <w:bottom w:w="0" w:type="dxa"/>
              <w:right w:w="105" w:type="dxa"/>
            </w:tcMar>
            <w:vAlign w:val="center"/>
          </w:tcPr>
          <w:p w14:paraId="2809D25E">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48h主要表面无锈斑</w:t>
            </w:r>
          </w:p>
        </w:tc>
      </w:tr>
    </w:tbl>
    <w:p w14:paraId="4C8233F1">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55"/>
        <w:textAlignment w:val="auto"/>
      </w:pPr>
      <w:r>
        <w:rPr>
          <w:rFonts w:hint="eastAsia" w:ascii="宋体" w:hAnsi="宋体" w:eastAsia="宋体" w:cs="宋体"/>
          <w:sz w:val="28"/>
          <w:szCs w:val="28"/>
        </w:rPr>
        <w:t>1.7组装</w:t>
      </w:r>
    </w:p>
    <w:p w14:paraId="3AAEFC1D">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55"/>
        <w:textAlignment w:val="auto"/>
      </w:pPr>
      <w:r>
        <w:rPr>
          <w:rFonts w:hint="eastAsia" w:ascii="宋体" w:hAnsi="宋体" w:eastAsia="宋体" w:cs="宋体"/>
          <w:sz w:val="28"/>
          <w:szCs w:val="28"/>
        </w:rPr>
        <w:t>1.7.1在床头装海绵枕一个用搭扣带扣合。</w:t>
      </w:r>
    </w:p>
    <w:p w14:paraId="62455085">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textAlignment w:val="auto"/>
      </w:pPr>
      <w:r>
        <w:rPr>
          <w:rFonts w:hint="eastAsia" w:ascii="宋体" w:hAnsi="宋体" w:eastAsia="宋体" w:cs="宋体"/>
          <w:sz w:val="28"/>
          <w:szCs w:val="28"/>
        </w:rPr>
        <w:t>    1.7.2在床头面的贴袋内装塑料板一块，装入后用搭扣带扣合。塑料板贴袋盖上缝纫用白色涤纶水洗布印刷的使用说明，见图7。</w:t>
      </w:r>
    </w:p>
    <w:p w14:paraId="2C49BB4E">
      <w:pPr>
        <w:pStyle w:val="5"/>
        <w:keepNext w:val="0"/>
        <w:keepLines w:val="0"/>
        <w:widowControl/>
        <w:suppressLineNumbers w:val="0"/>
        <w:spacing w:before="0" w:beforeAutospacing="0" w:after="150" w:afterAutospacing="0"/>
        <w:ind w:left="0" w:right="0"/>
      </w:pPr>
      <w:r>
        <w:drawing>
          <wp:inline distT="0" distB="0" distL="114300" distR="114300">
            <wp:extent cx="5953125" cy="2924175"/>
            <wp:effectExtent l="0" t="0" r="9525" b="9525"/>
            <wp:docPr id="20" name="图片 20" descr="1562145030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562145030238.png"/>
                    <pic:cNvPicPr>
                      <a:picLocks noChangeAspect="1"/>
                    </pic:cNvPicPr>
                  </pic:nvPicPr>
                  <pic:blipFill>
                    <a:blip r:embed="rId17"/>
                    <a:stretch>
                      <a:fillRect/>
                    </a:stretch>
                  </pic:blipFill>
                  <pic:spPr>
                    <a:xfrm>
                      <a:off x="0" y="0"/>
                      <a:ext cx="5953125" cy="2924175"/>
                    </a:xfrm>
                    <a:prstGeom prst="rect">
                      <a:avLst/>
                    </a:prstGeom>
                    <a:noFill/>
                    <a:ln w="9525">
                      <a:noFill/>
                    </a:ln>
                  </pic:spPr>
                </pic:pic>
              </a:graphicData>
            </a:graphic>
          </wp:inline>
        </w:drawing>
      </w:r>
    </w:p>
    <w:p w14:paraId="5379A96D">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rPr>
      </w:pPr>
    </w:p>
    <w:p w14:paraId="2120AB66">
      <w:pPr>
        <w:pStyle w:val="5"/>
        <w:keepNext w:val="0"/>
        <w:keepLines w:val="0"/>
        <w:widowControl/>
        <w:suppressLineNumbers w:val="0"/>
        <w:spacing w:before="0" w:beforeAutospacing="0" w:after="150" w:afterAutospacing="0" w:line="555" w:lineRule="atLeast"/>
        <w:ind w:left="0" w:right="0" w:firstLine="555"/>
      </w:pPr>
      <w:r>
        <w:rPr>
          <w:rFonts w:hint="eastAsia" w:ascii="黑体" w:hAnsi="宋体" w:eastAsia="黑体" w:cs="黑体"/>
          <w:sz w:val="28"/>
          <w:szCs w:val="28"/>
        </w:rPr>
        <w:t>附录A 样式结构</w:t>
      </w:r>
    </w:p>
    <w:p w14:paraId="183EF3F0">
      <w:pPr>
        <w:pStyle w:val="5"/>
        <w:keepNext w:val="0"/>
        <w:keepLines w:val="0"/>
        <w:widowControl/>
        <w:suppressLineNumbers w:val="0"/>
        <w:spacing w:before="0" w:beforeAutospacing="0" w:after="150" w:afterAutospacing="0" w:line="555" w:lineRule="atLeast"/>
        <w:ind w:left="0" w:right="0" w:firstLine="555"/>
        <w:textAlignment w:val="baseline"/>
      </w:pPr>
      <w:r>
        <w:rPr>
          <w:rFonts w:hint="eastAsia" w:ascii="宋体" w:hAnsi="宋体" w:eastAsia="宋体" w:cs="宋体"/>
          <w:sz w:val="28"/>
          <w:szCs w:val="28"/>
          <w:vertAlign w:val="baseline"/>
        </w:rPr>
        <w:t>A.1展开样式结构</w:t>
      </w:r>
    </w:p>
    <w:p w14:paraId="69052870">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救灾专用折叠床展开样式结构见图A.1。</w:t>
      </w:r>
    </w:p>
    <w:p w14:paraId="65C12C83">
      <w:pPr>
        <w:pStyle w:val="5"/>
        <w:keepNext w:val="0"/>
        <w:keepLines w:val="0"/>
        <w:widowControl/>
        <w:suppressLineNumbers w:val="0"/>
        <w:spacing w:before="0" w:beforeAutospacing="0" w:after="150" w:afterAutospacing="0"/>
        <w:ind w:left="0" w:right="0"/>
      </w:pPr>
      <w:r>
        <w:drawing>
          <wp:inline distT="0" distB="0" distL="114300" distR="114300">
            <wp:extent cx="5833110" cy="2028825"/>
            <wp:effectExtent l="0" t="0" r="15240" b="9525"/>
            <wp:docPr id="21" name="图片 21" descr="1562145204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562145204801.png"/>
                    <pic:cNvPicPr>
                      <a:picLocks noChangeAspect="1"/>
                    </pic:cNvPicPr>
                  </pic:nvPicPr>
                  <pic:blipFill>
                    <a:blip r:embed="rId18"/>
                    <a:stretch>
                      <a:fillRect/>
                    </a:stretch>
                  </pic:blipFill>
                  <pic:spPr>
                    <a:xfrm>
                      <a:off x="0" y="0"/>
                      <a:ext cx="5833110" cy="2028825"/>
                    </a:xfrm>
                    <a:prstGeom prst="rect">
                      <a:avLst/>
                    </a:prstGeom>
                    <a:noFill/>
                    <a:ln w="9525">
                      <a:noFill/>
                    </a:ln>
                  </pic:spPr>
                </pic:pic>
              </a:graphicData>
            </a:graphic>
          </wp:inline>
        </w:drawing>
      </w:r>
    </w:p>
    <w:p w14:paraId="4ED7956C">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图A.1  展开样式结构</w:t>
      </w:r>
    </w:p>
    <w:p w14:paraId="215B91FE">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55FEA009">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1264CF9E">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548F4A99">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01071B1F">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248E7F40">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6D0E6791">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09A15512">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5D4494D9">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0333D4F1">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4BDC5438">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1366842C">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7C8B56EF">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29E3F0A0">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485CD31F">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53BC0164">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763AE4FE">
      <w:pPr>
        <w:pStyle w:val="5"/>
        <w:keepNext w:val="0"/>
        <w:keepLines w:val="0"/>
        <w:widowControl/>
        <w:suppressLineNumbers w:val="0"/>
        <w:spacing w:before="0" w:beforeAutospacing="0" w:after="150" w:afterAutospacing="0" w:line="600" w:lineRule="atLeast"/>
        <w:ind w:left="0" w:right="0"/>
        <w:textAlignment w:val="baseline"/>
      </w:pPr>
      <w:r>
        <w:rPr>
          <w:rFonts w:hint="eastAsia" w:ascii="宋体" w:hAnsi="宋体" w:eastAsia="宋体" w:cs="宋体"/>
          <w:sz w:val="28"/>
          <w:szCs w:val="28"/>
          <w:vertAlign w:val="baseline"/>
        </w:rPr>
        <w:t>    A.2折合样式结构</w:t>
      </w:r>
    </w:p>
    <w:p w14:paraId="70FBAA01">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救灾专用折叠床折合样式结构见图A.2。</w:t>
      </w:r>
    </w:p>
    <w:p w14:paraId="145CFE38">
      <w:pPr>
        <w:pStyle w:val="5"/>
        <w:keepNext w:val="0"/>
        <w:keepLines w:val="0"/>
        <w:widowControl/>
        <w:suppressLineNumbers w:val="0"/>
        <w:spacing w:before="0" w:beforeAutospacing="0" w:after="150" w:afterAutospacing="0"/>
        <w:ind w:left="0" w:right="0"/>
      </w:pPr>
      <w:r>
        <w:drawing>
          <wp:inline distT="0" distB="0" distL="114300" distR="114300">
            <wp:extent cx="2771775" cy="3924300"/>
            <wp:effectExtent l="0" t="0" r="9525" b="0"/>
            <wp:docPr id="22" name="图片 22" descr="1562145292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62145292609.png"/>
                    <pic:cNvPicPr>
                      <a:picLocks noChangeAspect="1"/>
                    </pic:cNvPicPr>
                  </pic:nvPicPr>
                  <pic:blipFill>
                    <a:blip r:embed="rId19"/>
                    <a:stretch>
                      <a:fillRect/>
                    </a:stretch>
                  </pic:blipFill>
                  <pic:spPr>
                    <a:xfrm>
                      <a:off x="0" y="0"/>
                      <a:ext cx="2771775" cy="3924300"/>
                    </a:xfrm>
                    <a:prstGeom prst="rect">
                      <a:avLst/>
                    </a:prstGeom>
                    <a:noFill/>
                    <a:ln w="9525">
                      <a:noFill/>
                    </a:ln>
                  </pic:spPr>
                </pic:pic>
              </a:graphicData>
            </a:graphic>
          </wp:inline>
        </w:drawing>
      </w:r>
      <w:r>
        <w:drawing>
          <wp:inline distT="0" distB="0" distL="114300" distR="114300">
            <wp:extent cx="1485900" cy="5010150"/>
            <wp:effectExtent l="0" t="0" r="0" b="0"/>
            <wp:docPr id="23" name="图片 23" descr="1562145297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562145297829.png"/>
                    <pic:cNvPicPr>
                      <a:picLocks noChangeAspect="1"/>
                    </pic:cNvPicPr>
                  </pic:nvPicPr>
                  <pic:blipFill>
                    <a:blip r:embed="rId20"/>
                    <a:stretch>
                      <a:fillRect/>
                    </a:stretch>
                  </pic:blipFill>
                  <pic:spPr>
                    <a:xfrm>
                      <a:off x="0" y="0"/>
                      <a:ext cx="1485900" cy="5010150"/>
                    </a:xfrm>
                    <a:prstGeom prst="rect">
                      <a:avLst/>
                    </a:prstGeom>
                    <a:noFill/>
                    <a:ln w="9525">
                      <a:noFill/>
                    </a:ln>
                  </pic:spPr>
                </pic:pic>
              </a:graphicData>
            </a:graphic>
          </wp:inline>
        </w:drawing>
      </w:r>
    </w:p>
    <w:p w14:paraId="659F84FC">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图A.2  折合样式结构</w:t>
      </w:r>
    </w:p>
    <w:p w14:paraId="25F13AA4">
      <w:pPr>
        <w:pStyle w:val="5"/>
        <w:keepNext w:val="0"/>
        <w:keepLines w:val="0"/>
        <w:widowControl/>
        <w:suppressLineNumbers w:val="0"/>
        <w:spacing w:before="0" w:beforeAutospacing="0" w:after="150" w:afterAutospacing="0" w:line="360" w:lineRule="atLeast"/>
        <w:ind w:left="0" w:right="0" w:firstLine="555"/>
        <w:rPr>
          <w:rFonts w:hint="eastAsia" w:ascii="黑体" w:hAnsi="宋体" w:eastAsia="黑体" w:cs="黑体"/>
          <w:sz w:val="28"/>
          <w:szCs w:val="28"/>
        </w:rPr>
      </w:pPr>
    </w:p>
    <w:p w14:paraId="2355155B">
      <w:pPr>
        <w:pStyle w:val="5"/>
        <w:keepNext w:val="0"/>
        <w:keepLines w:val="0"/>
        <w:widowControl/>
        <w:suppressLineNumbers w:val="0"/>
        <w:spacing w:before="0" w:beforeAutospacing="0" w:after="150" w:afterAutospacing="0" w:line="360" w:lineRule="atLeast"/>
        <w:ind w:left="0" w:right="0" w:firstLine="555"/>
        <w:rPr>
          <w:rFonts w:hint="eastAsia" w:ascii="黑体" w:hAnsi="宋体" w:eastAsia="黑体" w:cs="黑体"/>
          <w:sz w:val="28"/>
          <w:szCs w:val="28"/>
        </w:rPr>
      </w:pPr>
    </w:p>
    <w:p w14:paraId="71CFDF9D">
      <w:pPr>
        <w:pStyle w:val="5"/>
        <w:keepNext w:val="0"/>
        <w:keepLines w:val="0"/>
        <w:widowControl/>
        <w:suppressLineNumbers w:val="0"/>
        <w:spacing w:before="0" w:beforeAutospacing="0" w:after="150" w:afterAutospacing="0" w:line="360" w:lineRule="atLeast"/>
        <w:ind w:left="0" w:right="0" w:firstLine="555"/>
        <w:rPr>
          <w:rFonts w:hint="eastAsia" w:ascii="黑体" w:hAnsi="宋体" w:eastAsia="黑体" w:cs="黑体"/>
          <w:sz w:val="28"/>
          <w:szCs w:val="28"/>
        </w:rPr>
      </w:pPr>
    </w:p>
    <w:p w14:paraId="34B714B8">
      <w:pPr>
        <w:pStyle w:val="5"/>
        <w:keepNext w:val="0"/>
        <w:keepLines w:val="0"/>
        <w:widowControl/>
        <w:suppressLineNumbers w:val="0"/>
        <w:spacing w:before="0" w:beforeAutospacing="0" w:after="150" w:afterAutospacing="0" w:line="360" w:lineRule="atLeast"/>
        <w:ind w:left="0" w:right="0" w:firstLine="555"/>
        <w:rPr>
          <w:rFonts w:hint="eastAsia" w:ascii="黑体" w:hAnsi="宋体" w:eastAsia="黑体" w:cs="黑体"/>
          <w:sz w:val="28"/>
          <w:szCs w:val="28"/>
        </w:rPr>
      </w:pPr>
    </w:p>
    <w:p w14:paraId="1CE9785A">
      <w:pPr>
        <w:pStyle w:val="5"/>
        <w:keepNext w:val="0"/>
        <w:keepLines w:val="0"/>
        <w:widowControl/>
        <w:suppressLineNumbers w:val="0"/>
        <w:spacing w:before="0" w:beforeAutospacing="0" w:after="150" w:afterAutospacing="0" w:line="360" w:lineRule="atLeast"/>
        <w:ind w:left="0" w:right="0" w:firstLine="555"/>
        <w:rPr>
          <w:rFonts w:hint="eastAsia" w:ascii="黑体" w:hAnsi="宋体" w:eastAsia="黑体" w:cs="黑体"/>
          <w:sz w:val="28"/>
          <w:szCs w:val="28"/>
        </w:rPr>
      </w:pPr>
    </w:p>
    <w:p w14:paraId="35D188DD">
      <w:pPr>
        <w:pStyle w:val="5"/>
        <w:keepNext w:val="0"/>
        <w:keepLines w:val="0"/>
        <w:widowControl/>
        <w:suppressLineNumbers w:val="0"/>
        <w:spacing w:before="0" w:beforeAutospacing="0" w:after="150" w:afterAutospacing="0" w:line="360" w:lineRule="atLeast"/>
        <w:ind w:left="0" w:right="0" w:firstLine="555"/>
      </w:pPr>
      <w:r>
        <w:rPr>
          <w:rFonts w:hint="eastAsia" w:ascii="黑体" w:hAnsi="宋体" w:eastAsia="黑体" w:cs="黑体"/>
          <w:sz w:val="28"/>
          <w:szCs w:val="28"/>
        </w:rPr>
        <w:t>附录B </w:t>
      </w:r>
      <w:r>
        <w:rPr>
          <w:rFonts w:hint="eastAsia" w:ascii="宋体" w:hAnsi="宋体" w:eastAsia="宋体" w:cs="宋体"/>
          <w:sz w:val="28"/>
          <w:szCs w:val="28"/>
        </w:rPr>
        <w:t> </w:t>
      </w:r>
      <w:r>
        <w:rPr>
          <w:rFonts w:hint="eastAsia" w:ascii="黑体" w:hAnsi="宋体" w:eastAsia="黑体" w:cs="黑体"/>
          <w:sz w:val="28"/>
          <w:szCs w:val="28"/>
        </w:rPr>
        <w:t>PVC涂层布技术要求</w:t>
      </w:r>
    </w:p>
    <w:p w14:paraId="4B70D279">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30" w:lineRule="exact"/>
        <w:ind w:left="0" w:right="0" w:firstLine="556"/>
        <w:textAlignment w:val="baseline"/>
      </w:pPr>
      <w:r>
        <w:rPr>
          <w:rFonts w:hint="eastAsia" w:ascii="宋体" w:hAnsi="宋体" w:eastAsia="宋体" w:cs="宋体"/>
          <w:sz w:val="28"/>
          <w:szCs w:val="28"/>
          <w:vertAlign w:val="baseline"/>
        </w:rPr>
        <w:t>B.1颜色及涂覆方式</w:t>
      </w:r>
    </w:p>
    <w:p w14:paraId="49855B51">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30" w:lineRule="exact"/>
        <w:ind w:left="0" w:right="0" w:firstLine="556"/>
        <w:textAlignment w:val="baseline"/>
      </w:pPr>
      <w:r>
        <w:rPr>
          <w:rFonts w:hint="eastAsia" w:ascii="宋体" w:hAnsi="宋体" w:eastAsia="宋体" w:cs="宋体"/>
          <w:sz w:val="28"/>
          <w:szCs w:val="28"/>
          <w:vertAlign w:val="baseline"/>
        </w:rPr>
        <w:t>PVC涂层布为天蓝色PANTONG 19—4049；单面涂覆PVC织物。</w:t>
      </w:r>
    </w:p>
    <w:p w14:paraId="00C2FAF4">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30" w:lineRule="exact"/>
        <w:ind w:left="0" w:right="0" w:firstLine="556"/>
        <w:textAlignment w:val="baseline"/>
      </w:pPr>
      <w:r>
        <w:rPr>
          <w:rFonts w:hint="eastAsia" w:ascii="宋体" w:hAnsi="宋体" w:eastAsia="宋体" w:cs="宋体"/>
          <w:sz w:val="28"/>
          <w:szCs w:val="28"/>
          <w:vertAlign w:val="baseline"/>
        </w:rPr>
        <w:t>B.2织物规格</w:t>
      </w:r>
    </w:p>
    <w:p w14:paraId="53AB3FB8">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30" w:lineRule="exact"/>
        <w:ind w:left="0" w:right="0" w:firstLine="556"/>
      </w:pPr>
      <w:r>
        <w:rPr>
          <w:rFonts w:hint="eastAsia" w:ascii="宋体" w:hAnsi="宋体" w:eastAsia="宋体" w:cs="宋体"/>
          <w:sz w:val="28"/>
          <w:szCs w:val="28"/>
        </w:rPr>
        <w:t>织物规格见表B.1。</w:t>
      </w:r>
      <w:r>
        <w:rPr>
          <w:rFonts w:hint="eastAsia" w:ascii="宋体" w:hAnsi="宋体" w:eastAsia="宋体" w:cs="宋体"/>
          <w:sz w:val="28"/>
          <w:szCs w:val="28"/>
        </w:rPr>
        <w:br w:type="textWrapping"/>
      </w:r>
      <w:r>
        <w:rPr>
          <w:rFonts w:hint="eastAsia" w:ascii="宋体" w:hAnsi="宋体" w:eastAsia="宋体" w:cs="宋体"/>
          <w:sz w:val="28"/>
          <w:szCs w:val="28"/>
        </w:rPr>
        <w:t>  </w:t>
      </w:r>
      <w:r>
        <w:rPr>
          <w:rFonts w:hint="eastAsia" w:ascii="宋体" w:hAnsi="宋体" w:eastAsia="宋体" w:cs="宋体"/>
          <w:sz w:val="21"/>
          <w:szCs w:val="21"/>
        </w:rPr>
        <w:t>表B.1  织物规格</w:t>
      </w:r>
    </w:p>
    <w:tbl>
      <w:tblPr>
        <w:tblStyle w:val="6"/>
        <w:tblW w:w="8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2190"/>
        <w:gridCol w:w="2175"/>
        <w:gridCol w:w="4350"/>
      </w:tblGrid>
      <w:tr w14:paraId="11CCFD52">
        <w:tblPrEx>
          <w:tblCellMar>
            <w:top w:w="15" w:type="dxa"/>
            <w:left w:w="15" w:type="dxa"/>
            <w:bottom w:w="15" w:type="dxa"/>
            <w:right w:w="15" w:type="dxa"/>
          </w:tblCellMar>
        </w:tblPrEx>
        <w:trPr>
          <w:trHeight w:val="195" w:hRule="atLeast"/>
        </w:trPr>
        <w:tc>
          <w:tcPr>
            <w:tcW w:w="4365" w:type="dxa"/>
            <w:gridSpan w:val="2"/>
            <w:tcBorders>
              <w:tl2br w:val="nil"/>
              <w:tr2bl w:val="nil"/>
            </w:tcBorders>
            <w:shd w:val="clear" w:color="auto" w:fill="auto"/>
            <w:tcMar>
              <w:top w:w="0" w:type="dxa"/>
              <w:left w:w="105" w:type="dxa"/>
              <w:bottom w:w="0" w:type="dxa"/>
              <w:right w:w="105" w:type="dxa"/>
            </w:tcMar>
            <w:vAlign w:val="center"/>
          </w:tcPr>
          <w:p w14:paraId="1A052CAE">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项目</w:t>
            </w:r>
          </w:p>
        </w:tc>
        <w:tc>
          <w:tcPr>
            <w:tcW w:w="4350" w:type="dxa"/>
            <w:tcBorders>
              <w:tl2br w:val="nil"/>
              <w:tr2bl w:val="nil"/>
            </w:tcBorders>
            <w:shd w:val="clear" w:color="auto" w:fill="auto"/>
            <w:tcMar>
              <w:top w:w="0" w:type="dxa"/>
              <w:left w:w="105" w:type="dxa"/>
              <w:bottom w:w="0" w:type="dxa"/>
              <w:right w:w="105" w:type="dxa"/>
            </w:tcMar>
            <w:vAlign w:val="center"/>
          </w:tcPr>
          <w:p w14:paraId="564E172A">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规格</w:t>
            </w:r>
          </w:p>
        </w:tc>
      </w:tr>
      <w:tr w14:paraId="5BC79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4365" w:type="dxa"/>
            <w:gridSpan w:val="2"/>
            <w:tcBorders>
              <w:tl2br w:val="nil"/>
              <w:tr2bl w:val="nil"/>
            </w:tcBorders>
            <w:shd w:val="clear" w:color="auto" w:fill="auto"/>
            <w:tcMar>
              <w:top w:w="0" w:type="dxa"/>
              <w:left w:w="105" w:type="dxa"/>
              <w:bottom w:w="0" w:type="dxa"/>
              <w:right w:w="105" w:type="dxa"/>
            </w:tcMar>
            <w:vAlign w:val="top"/>
          </w:tcPr>
          <w:p w14:paraId="39DF6CB7">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纤维材质</w:t>
            </w:r>
          </w:p>
        </w:tc>
        <w:tc>
          <w:tcPr>
            <w:tcW w:w="4350" w:type="dxa"/>
            <w:tcBorders>
              <w:tl2br w:val="nil"/>
              <w:tr2bl w:val="nil"/>
            </w:tcBorders>
            <w:shd w:val="clear" w:color="auto" w:fill="auto"/>
            <w:tcMar>
              <w:top w:w="0" w:type="dxa"/>
              <w:left w:w="105" w:type="dxa"/>
              <w:bottom w:w="0" w:type="dxa"/>
              <w:right w:w="105" w:type="dxa"/>
            </w:tcMar>
            <w:vAlign w:val="top"/>
          </w:tcPr>
          <w:p w14:paraId="343D29A8">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100%涤纶</w:t>
            </w:r>
          </w:p>
        </w:tc>
      </w:tr>
      <w:tr w14:paraId="0147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190" w:type="dxa"/>
            <w:vMerge w:val="restart"/>
            <w:tcBorders>
              <w:tl2br w:val="nil"/>
              <w:tr2bl w:val="nil"/>
            </w:tcBorders>
            <w:shd w:val="clear" w:color="auto" w:fill="auto"/>
            <w:tcMar>
              <w:top w:w="0" w:type="dxa"/>
              <w:left w:w="105" w:type="dxa"/>
              <w:bottom w:w="0" w:type="dxa"/>
              <w:right w:w="105" w:type="dxa"/>
            </w:tcMar>
            <w:vAlign w:val="center"/>
          </w:tcPr>
          <w:p w14:paraId="19A4A6FA">
            <w:pPr>
              <w:pStyle w:val="5"/>
              <w:keepNext w:val="0"/>
              <w:keepLines w:val="0"/>
              <w:widowControl/>
              <w:suppressLineNumbers w:val="0"/>
              <w:spacing w:before="0" w:beforeAutospacing="0" w:after="150" w:afterAutospacing="0" w:line="405" w:lineRule="atLeast"/>
              <w:ind w:left="0" w:right="0" w:firstLine="420"/>
              <w:jc w:val="center"/>
            </w:pPr>
            <w:r>
              <w:rPr>
                <w:rFonts w:hint="eastAsia" w:ascii="宋体" w:hAnsi="宋体" w:eastAsia="宋体" w:cs="宋体"/>
                <w:sz w:val="21"/>
                <w:szCs w:val="21"/>
              </w:rPr>
              <w:t>线密度，dtex</w:t>
            </w:r>
          </w:p>
        </w:tc>
        <w:tc>
          <w:tcPr>
            <w:tcW w:w="2175" w:type="dxa"/>
            <w:tcBorders>
              <w:tl2br w:val="nil"/>
              <w:tr2bl w:val="nil"/>
            </w:tcBorders>
            <w:shd w:val="clear" w:color="auto" w:fill="auto"/>
            <w:tcMar>
              <w:top w:w="0" w:type="dxa"/>
              <w:left w:w="105" w:type="dxa"/>
              <w:bottom w:w="0" w:type="dxa"/>
              <w:right w:w="105" w:type="dxa"/>
            </w:tcMar>
            <w:vAlign w:val="top"/>
          </w:tcPr>
          <w:p w14:paraId="7F43DFC6">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经纱</w:t>
            </w:r>
          </w:p>
        </w:tc>
        <w:tc>
          <w:tcPr>
            <w:tcW w:w="4350" w:type="dxa"/>
            <w:vMerge w:val="restart"/>
            <w:tcBorders>
              <w:tl2br w:val="nil"/>
              <w:tr2bl w:val="nil"/>
            </w:tcBorders>
            <w:shd w:val="clear" w:color="auto" w:fill="auto"/>
            <w:tcMar>
              <w:top w:w="0" w:type="dxa"/>
              <w:left w:w="105" w:type="dxa"/>
              <w:bottom w:w="0" w:type="dxa"/>
              <w:right w:w="105" w:type="dxa"/>
            </w:tcMar>
            <w:vAlign w:val="center"/>
          </w:tcPr>
          <w:p w14:paraId="320E26DD">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666</w:t>
            </w:r>
          </w:p>
        </w:tc>
      </w:tr>
      <w:tr w14:paraId="1EE21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2190" w:type="dxa"/>
            <w:vMerge w:val="continue"/>
            <w:tcBorders>
              <w:tl2br w:val="nil"/>
              <w:tr2bl w:val="nil"/>
            </w:tcBorders>
            <w:shd w:val="clear" w:color="auto" w:fill="auto"/>
            <w:tcMar>
              <w:top w:w="0" w:type="dxa"/>
              <w:left w:w="105" w:type="dxa"/>
              <w:bottom w:w="0" w:type="dxa"/>
              <w:right w:w="105" w:type="dxa"/>
            </w:tcMar>
            <w:vAlign w:val="center"/>
          </w:tcPr>
          <w:p w14:paraId="5CA42320">
            <w:pPr>
              <w:rPr>
                <w:rFonts w:hint="eastAsia" w:ascii="宋体"/>
                <w:sz w:val="24"/>
                <w:szCs w:val="24"/>
              </w:rPr>
            </w:pPr>
          </w:p>
        </w:tc>
        <w:tc>
          <w:tcPr>
            <w:tcW w:w="2175" w:type="dxa"/>
            <w:tcBorders>
              <w:tl2br w:val="nil"/>
              <w:tr2bl w:val="nil"/>
            </w:tcBorders>
            <w:shd w:val="clear" w:color="auto" w:fill="auto"/>
            <w:tcMar>
              <w:top w:w="0" w:type="dxa"/>
              <w:left w:w="105" w:type="dxa"/>
              <w:bottom w:w="0" w:type="dxa"/>
              <w:right w:w="105" w:type="dxa"/>
            </w:tcMar>
            <w:vAlign w:val="top"/>
          </w:tcPr>
          <w:p w14:paraId="328476AB">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纬纱</w:t>
            </w:r>
          </w:p>
        </w:tc>
        <w:tc>
          <w:tcPr>
            <w:tcW w:w="4350" w:type="dxa"/>
            <w:vMerge w:val="continue"/>
            <w:tcBorders>
              <w:tl2br w:val="nil"/>
              <w:tr2bl w:val="nil"/>
            </w:tcBorders>
            <w:shd w:val="clear" w:color="auto" w:fill="auto"/>
            <w:tcMar>
              <w:top w:w="0" w:type="dxa"/>
              <w:left w:w="105" w:type="dxa"/>
              <w:bottom w:w="0" w:type="dxa"/>
              <w:right w:w="105" w:type="dxa"/>
            </w:tcMar>
            <w:vAlign w:val="center"/>
          </w:tcPr>
          <w:p w14:paraId="12F6B4F1">
            <w:pPr>
              <w:rPr>
                <w:rFonts w:hint="eastAsia" w:ascii="宋体"/>
                <w:sz w:val="24"/>
                <w:szCs w:val="24"/>
              </w:rPr>
            </w:pPr>
          </w:p>
        </w:tc>
      </w:tr>
    </w:tbl>
    <w:p w14:paraId="49A591A0">
      <w:pPr>
        <w:pStyle w:val="5"/>
        <w:keepNext w:val="0"/>
        <w:keepLines w:val="0"/>
        <w:widowControl/>
        <w:suppressLineNumbers w:val="0"/>
        <w:spacing w:before="0" w:beforeAutospacing="0" w:after="150" w:afterAutospacing="0" w:line="360" w:lineRule="atLeast"/>
        <w:ind w:left="0" w:right="0" w:firstLine="555"/>
        <w:textAlignment w:val="baseline"/>
      </w:pPr>
      <w:r>
        <w:rPr>
          <w:rFonts w:hint="eastAsia" w:ascii="宋体" w:hAnsi="宋体" w:eastAsia="宋体" w:cs="宋体"/>
          <w:sz w:val="28"/>
          <w:szCs w:val="28"/>
          <w:vertAlign w:val="baseline"/>
        </w:rPr>
        <w:t>B.3性能指标</w:t>
      </w:r>
    </w:p>
    <w:p w14:paraId="2B818D97">
      <w:pPr>
        <w:pStyle w:val="5"/>
        <w:keepNext w:val="0"/>
        <w:keepLines w:val="0"/>
        <w:widowControl/>
        <w:suppressLineNumbers w:val="0"/>
        <w:spacing w:before="0" w:beforeAutospacing="0" w:after="150" w:afterAutospacing="0" w:line="360" w:lineRule="atLeast"/>
        <w:ind w:left="0" w:right="0" w:firstLine="555"/>
      </w:pPr>
      <w:r>
        <w:rPr>
          <w:rFonts w:hint="eastAsia" w:ascii="宋体" w:hAnsi="宋体" w:eastAsia="宋体" w:cs="宋体"/>
          <w:sz w:val="28"/>
          <w:szCs w:val="28"/>
        </w:rPr>
        <w:t>性能指标见表B.2。</w:t>
      </w:r>
      <w:r>
        <w:rPr>
          <w:rFonts w:hint="eastAsia" w:ascii="宋体" w:hAnsi="宋体" w:eastAsia="宋体" w:cs="宋体"/>
          <w:sz w:val="28"/>
          <w:szCs w:val="28"/>
        </w:rPr>
        <w:br w:type="textWrapping"/>
      </w:r>
      <w:r>
        <w:rPr>
          <w:rFonts w:hint="eastAsia" w:ascii="宋体" w:hAnsi="宋体" w:eastAsia="宋体" w:cs="宋体"/>
          <w:sz w:val="28"/>
          <w:szCs w:val="28"/>
        </w:rPr>
        <w:t>  </w:t>
      </w:r>
      <w:r>
        <w:rPr>
          <w:rFonts w:hint="eastAsia" w:ascii="宋体" w:hAnsi="宋体" w:eastAsia="宋体" w:cs="宋体"/>
          <w:sz w:val="21"/>
          <w:szCs w:val="21"/>
        </w:rPr>
        <w:t>表B.2性能指标</w:t>
      </w:r>
    </w:p>
    <w:tbl>
      <w:tblPr>
        <w:tblStyle w:val="6"/>
        <w:tblW w:w="8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2175"/>
        <w:gridCol w:w="2175"/>
        <w:gridCol w:w="4365"/>
      </w:tblGrid>
      <w:tr w14:paraId="11D29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85" w:hRule="atLeast"/>
        </w:trPr>
        <w:tc>
          <w:tcPr>
            <w:tcW w:w="4350" w:type="dxa"/>
            <w:gridSpan w:val="2"/>
            <w:tcBorders>
              <w:tl2br w:val="nil"/>
              <w:tr2bl w:val="nil"/>
            </w:tcBorders>
            <w:shd w:val="clear" w:color="auto" w:fill="auto"/>
            <w:tcMar>
              <w:top w:w="0" w:type="dxa"/>
              <w:left w:w="105" w:type="dxa"/>
              <w:bottom w:w="0" w:type="dxa"/>
              <w:right w:w="105" w:type="dxa"/>
            </w:tcMar>
            <w:vAlign w:val="center"/>
          </w:tcPr>
          <w:p w14:paraId="6B9BACB8">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项目</w:t>
            </w:r>
          </w:p>
        </w:tc>
        <w:tc>
          <w:tcPr>
            <w:tcW w:w="4365" w:type="dxa"/>
            <w:tcBorders>
              <w:tl2br w:val="nil"/>
              <w:tr2bl w:val="nil"/>
            </w:tcBorders>
            <w:shd w:val="clear" w:color="auto" w:fill="auto"/>
            <w:tcMar>
              <w:top w:w="0" w:type="dxa"/>
              <w:left w:w="105" w:type="dxa"/>
              <w:bottom w:w="0" w:type="dxa"/>
              <w:right w:w="105" w:type="dxa"/>
            </w:tcMar>
            <w:vAlign w:val="center"/>
          </w:tcPr>
          <w:p w14:paraId="42ACD815">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指标</w:t>
            </w:r>
          </w:p>
        </w:tc>
      </w:tr>
      <w:tr w14:paraId="0CEC5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85" w:hRule="atLeast"/>
        </w:trPr>
        <w:tc>
          <w:tcPr>
            <w:tcW w:w="4350" w:type="dxa"/>
            <w:gridSpan w:val="2"/>
            <w:tcBorders>
              <w:tl2br w:val="nil"/>
              <w:tr2bl w:val="nil"/>
            </w:tcBorders>
            <w:shd w:val="clear" w:color="auto" w:fill="auto"/>
            <w:tcMar>
              <w:top w:w="0" w:type="dxa"/>
              <w:left w:w="105" w:type="dxa"/>
              <w:bottom w:w="0" w:type="dxa"/>
              <w:right w:w="105" w:type="dxa"/>
            </w:tcMar>
            <w:vAlign w:val="top"/>
          </w:tcPr>
          <w:p w14:paraId="58A5BEBB">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单位面积质量，g/m</w:t>
            </w:r>
            <w:r>
              <w:rPr>
                <w:rFonts w:hint="eastAsia" w:ascii="宋体" w:hAnsi="宋体" w:eastAsia="宋体" w:cs="宋体"/>
                <w:sz w:val="21"/>
                <w:szCs w:val="21"/>
                <w:vertAlign w:val="superscript"/>
              </w:rPr>
              <w:t>2</w:t>
            </w:r>
          </w:p>
        </w:tc>
        <w:tc>
          <w:tcPr>
            <w:tcW w:w="4365" w:type="dxa"/>
            <w:tcBorders>
              <w:tl2br w:val="nil"/>
              <w:tr2bl w:val="nil"/>
            </w:tcBorders>
            <w:shd w:val="clear" w:color="auto" w:fill="auto"/>
            <w:tcMar>
              <w:top w:w="0" w:type="dxa"/>
              <w:left w:w="105" w:type="dxa"/>
              <w:bottom w:w="0" w:type="dxa"/>
              <w:right w:w="105" w:type="dxa"/>
            </w:tcMar>
            <w:vAlign w:val="top"/>
          </w:tcPr>
          <w:p w14:paraId="6DB63252">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≥450</w:t>
            </w:r>
          </w:p>
        </w:tc>
      </w:tr>
      <w:tr w14:paraId="536AA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85" w:hRule="atLeast"/>
        </w:trPr>
        <w:tc>
          <w:tcPr>
            <w:tcW w:w="2175" w:type="dxa"/>
            <w:vMerge w:val="restart"/>
            <w:tcBorders>
              <w:tl2br w:val="nil"/>
              <w:tr2bl w:val="nil"/>
            </w:tcBorders>
            <w:shd w:val="clear" w:color="auto" w:fill="auto"/>
            <w:tcMar>
              <w:top w:w="0" w:type="dxa"/>
              <w:left w:w="105" w:type="dxa"/>
              <w:bottom w:w="0" w:type="dxa"/>
              <w:right w:w="105" w:type="dxa"/>
            </w:tcMar>
            <w:vAlign w:val="center"/>
          </w:tcPr>
          <w:p w14:paraId="6697CE9D">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断裂强力，N/5cm</w:t>
            </w:r>
          </w:p>
        </w:tc>
        <w:tc>
          <w:tcPr>
            <w:tcW w:w="2175" w:type="dxa"/>
            <w:tcBorders>
              <w:tl2br w:val="nil"/>
              <w:tr2bl w:val="nil"/>
            </w:tcBorders>
            <w:shd w:val="clear" w:color="auto" w:fill="auto"/>
            <w:tcMar>
              <w:top w:w="0" w:type="dxa"/>
              <w:left w:w="105" w:type="dxa"/>
              <w:bottom w:w="0" w:type="dxa"/>
              <w:right w:w="105" w:type="dxa"/>
            </w:tcMar>
            <w:vAlign w:val="top"/>
          </w:tcPr>
          <w:p w14:paraId="0C9D93FA">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经向</w:t>
            </w:r>
          </w:p>
        </w:tc>
        <w:tc>
          <w:tcPr>
            <w:tcW w:w="4365" w:type="dxa"/>
            <w:tcBorders>
              <w:tl2br w:val="nil"/>
              <w:tr2bl w:val="nil"/>
            </w:tcBorders>
            <w:shd w:val="clear" w:color="auto" w:fill="auto"/>
            <w:tcMar>
              <w:top w:w="0" w:type="dxa"/>
              <w:left w:w="105" w:type="dxa"/>
              <w:bottom w:w="0" w:type="dxa"/>
              <w:right w:w="105" w:type="dxa"/>
            </w:tcMar>
            <w:vAlign w:val="top"/>
          </w:tcPr>
          <w:p w14:paraId="42D5535F">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≥1600</w:t>
            </w:r>
          </w:p>
        </w:tc>
      </w:tr>
      <w:tr w14:paraId="382B3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85" w:hRule="atLeast"/>
        </w:trPr>
        <w:tc>
          <w:tcPr>
            <w:tcW w:w="2175" w:type="dxa"/>
            <w:vMerge w:val="continue"/>
            <w:tcBorders>
              <w:tl2br w:val="nil"/>
              <w:tr2bl w:val="nil"/>
            </w:tcBorders>
            <w:shd w:val="clear" w:color="auto" w:fill="auto"/>
            <w:tcMar>
              <w:top w:w="0" w:type="dxa"/>
              <w:left w:w="105" w:type="dxa"/>
              <w:bottom w:w="0" w:type="dxa"/>
              <w:right w:w="105" w:type="dxa"/>
            </w:tcMar>
            <w:vAlign w:val="center"/>
          </w:tcPr>
          <w:p w14:paraId="04D29F63">
            <w:pPr>
              <w:rPr>
                <w:rFonts w:hint="eastAsia" w:ascii="宋体"/>
                <w:sz w:val="24"/>
                <w:szCs w:val="24"/>
              </w:rPr>
            </w:pPr>
          </w:p>
        </w:tc>
        <w:tc>
          <w:tcPr>
            <w:tcW w:w="2175" w:type="dxa"/>
            <w:tcBorders>
              <w:tl2br w:val="nil"/>
              <w:tr2bl w:val="nil"/>
            </w:tcBorders>
            <w:shd w:val="clear" w:color="auto" w:fill="auto"/>
            <w:tcMar>
              <w:top w:w="0" w:type="dxa"/>
              <w:left w:w="105" w:type="dxa"/>
              <w:bottom w:w="0" w:type="dxa"/>
              <w:right w:w="105" w:type="dxa"/>
            </w:tcMar>
            <w:vAlign w:val="top"/>
          </w:tcPr>
          <w:p w14:paraId="3056D32B">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纬向</w:t>
            </w:r>
          </w:p>
        </w:tc>
        <w:tc>
          <w:tcPr>
            <w:tcW w:w="4365" w:type="dxa"/>
            <w:tcBorders>
              <w:tl2br w:val="nil"/>
              <w:tr2bl w:val="nil"/>
            </w:tcBorders>
            <w:shd w:val="clear" w:color="auto" w:fill="auto"/>
            <w:tcMar>
              <w:top w:w="0" w:type="dxa"/>
              <w:left w:w="105" w:type="dxa"/>
              <w:bottom w:w="0" w:type="dxa"/>
              <w:right w:w="105" w:type="dxa"/>
            </w:tcMar>
            <w:vAlign w:val="top"/>
          </w:tcPr>
          <w:p w14:paraId="31A012D1">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≥1350</w:t>
            </w:r>
          </w:p>
        </w:tc>
      </w:tr>
      <w:tr w14:paraId="5EB88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2175" w:type="dxa"/>
            <w:vMerge w:val="restart"/>
            <w:tcBorders>
              <w:tl2br w:val="nil"/>
              <w:tr2bl w:val="nil"/>
            </w:tcBorders>
            <w:shd w:val="clear" w:color="auto" w:fill="auto"/>
            <w:tcMar>
              <w:top w:w="0" w:type="dxa"/>
              <w:left w:w="105" w:type="dxa"/>
              <w:bottom w:w="0" w:type="dxa"/>
              <w:right w:w="105" w:type="dxa"/>
            </w:tcMar>
            <w:vAlign w:val="center"/>
          </w:tcPr>
          <w:p w14:paraId="250B43E5">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撕破强力，N</w:t>
            </w:r>
          </w:p>
        </w:tc>
        <w:tc>
          <w:tcPr>
            <w:tcW w:w="2175" w:type="dxa"/>
            <w:tcBorders>
              <w:tl2br w:val="nil"/>
              <w:tr2bl w:val="nil"/>
            </w:tcBorders>
            <w:shd w:val="clear" w:color="auto" w:fill="auto"/>
            <w:tcMar>
              <w:top w:w="0" w:type="dxa"/>
              <w:left w:w="105" w:type="dxa"/>
              <w:bottom w:w="0" w:type="dxa"/>
              <w:right w:w="105" w:type="dxa"/>
            </w:tcMar>
            <w:vAlign w:val="top"/>
          </w:tcPr>
          <w:p w14:paraId="0FA82569">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经向</w:t>
            </w:r>
          </w:p>
        </w:tc>
        <w:tc>
          <w:tcPr>
            <w:tcW w:w="4365" w:type="dxa"/>
            <w:tcBorders>
              <w:tl2br w:val="nil"/>
              <w:tr2bl w:val="nil"/>
            </w:tcBorders>
            <w:shd w:val="clear" w:color="auto" w:fill="auto"/>
            <w:tcMar>
              <w:top w:w="0" w:type="dxa"/>
              <w:left w:w="105" w:type="dxa"/>
              <w:bottom w:w="0" w:type="dxa"/>
              <w:right w:w="105" w:type="dxa"/>
            </w:tcMar>
            <w:vAlign w:val="top"/>
          </w:tcPr>
          <w:p w14:paraId="4B00D321">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≥45</w:t>
            </w:r>
          </w:p>
        </w:tc>
      </w:tr>
      <w:tr w14:paraId="2D3E8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2175" w:type="dxa"/>
            <w:vMerge w:val="continue"/>
            <w:tcBorders>
              <w:tl2br w:val="nil"/>
              <w:tr2bl w:val="nil"/>
            </w:tcBorders>
            <w:shd w:val="clear" w:color="auto" w:fill="auto"/>
            <w:tcMar>
              <w:top w:w="0" w:type="dxa"/>
              <w:left w:w="105" w:type="dxa"/>
              <w:bottom w:w="0" w:type="dxa"/>
              <w:right w:w="105" w:type="dxa"/>
            </w:tcMar>
            <w:vAlign w:val="center"/>
          </w:tcPr>
          <w:p w14:paraId="129708E9">
            <w:pPr>
              <w:rPr>
                <w:rFonts w:hint="eastAsia" w:ascii="宋体"/>
                <w:sz w:val="24"/>
                <w:szCs w:val="24"/>
              </w:rPr>
            </w:pPr>
          </w:p>
        </w:tc>
        <w:tc>
          <w:tcPr>
            <w:tcW w:w="2175" w:type="dxa"/>
            <w:tcBorders>
              <w:tl2br w:val="nil"/>
              <w:tr2bl w:val="nil"/>
            </w:tcBorders>
            <w:shd w:val="clear" w:color="auto" w:fill="auto"/>
            <w:tcMar>
              <w:top w:w="0" w:type="dxa"/>
              <w:left w:w="105" w:type="dxa"/>
              <w:bottom w:w="0" w:type="dxa"/>
              <w:right w:w="105" w:type="dxa"/>
            </w:tcMar>
            <w:vAlign w:val="top"/>
          </w:tcPr>
          <w:p w14:paraId="3C7136B1">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纬向</w:t>
            </w:r>
          </w:p>
        </w:tc>
        <w:tc>
          <w:tcPr>
            <w:tcW w:w="4365" w:type="dxa"/>
            <w:tcBorders>
              <w:tl2br w:val="nil"/>
              <w:tr2bl w:val="nil"/>
            </w:tcBorders>
            <w:shd w:val="clear" w:color="auto" w:fill="auto"/>
            <w:tcMar>
              <w:top w:w="0" w:type="dxa"/>
              <w:left w:w="105" w:type="dxa"/>
              <w:bottom w:w="0" w:type="dxa"/>
              <w:right w:w="105" w:type="dxa"/>
            </w:tcMar>
            <w:vAlign w:val="top"/>
          </w:tcPr>
          <w:p w14:paraId="26ED4EB2">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≥40</w:t>
            </w:r>
          </w:p>
        </w:tc>
      </w:tr>
      <w:tr w14:paraId="4C2F1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85" w:hRule="atLeast"/>
        </w:trPr>
        <w:tc>
          <w:tcPr>
            <w:tcW w:w="4350" w:type="dxa"/>
            <w:gridSpan w:val="2"/>
            <w:tcBorders>
              <w:tl2br w:val="nil"/>
              <w:tr2bl w:val="nil"/>
            </w:tcBorders>
            <w:shd w:val="clear" w:color="auto" w:fill="auto"/>
            <w:tcMar>
              <w:top w:w="0" w:type="dxa"/>
              <w:left w:w="105" w:type="dxa"/>
              <w:bottom w:w="0" w:type="dxa"/>
              <w:right w:w="105" w:type="dxa"/>
            </w:tcMar>
            <w:vAlign w:val="top"/>
          </w:tcPr>
          <w:p w14:paraId="55FBA853">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抗粘连性</w:t>
            </w:r>
          </w:p>
        </w:tc>
        <w:tc>
          <w:tcPr>
            <w:tcW w:w="4365" w:type="dxa"/>
            <w:tcBorders>
              <w:tl2br w:val="nil"/>
              <w:tr2bl w:val="nil"/>
            </w:tcBorders>
            <w:shd w:val="clear" w:color="auto" w:fill="auto"/>
            <w:tcMar>
              <w:top w:w="0" w:type="dxa"/>
              <w:left w:w="105" w:type="dxa"/>
              <w:bottom w:w="0" w:type="dxa"/>
              <w:right w:w="105" w:type="dxa"/>
            </w:tcMar>
            <w:vAlign w:val="top"/>
          </w:tcPr>
          <w:p w14:paraId="099A37ED">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允许轻度粘连</w:t>
            </w:r>
          </w:p>
        </w:tc>
      </w:tr>
      <w:tr w14:paraId="5D9B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85" w:hRule="atLeast"/>
        </w:trPr>
        <w:tc>
          <w:tcPr>
            <w:tcW w:w="4350" w:type="dxa"/>
            <w:gridSpan w:val="2"/>
            <w:tcBorders>
              <w:tl2br w:val="nil"/>
              <w:tr2bl w:val="nil"/>
            </w:tcBorders>
            <w:shd w:val="clear" w:color="auto" w:fill="auto"/>
            <w:tcMar>
              <w:top w:w="0" w:type="dxa"/>
              <w:left w:w="105" w:type="dxa"/>
              <w:bottom w:w="0" w:type="dxa"/>
              <w:right w:w="105" w:type="dxa"/>
            </w:tcMar>
            <w:vAlign w:val="top"/>
          </w:tcPr>
          <w:p w14:paraId="6796EBF7">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静水压，kPa</w:t>
            </w:r>
          </w:p>
        </w:tc>
        <w:tc>
          <w:tcPr>
            <w:tcW w:w="4365" w:type="dxa"/>
            <w:tcBorders>
              <w:tl2br w:val="nil"/>
              <w:tr2bl w:val="nil"/>
            </w:tcBorders>
            <w:shd w:val="clear" w:color="auto" w:fill="auto"/>
            <w:tcMar>
              <w:top w:w="0" w:type="dxa"/>
              <w:left w:w="105" w:type="dxa"/>
              <w:bottom w:w="0" w:type="dxa"/>
              <w:right w:w="105" w:type="dxa"/>
            </w:tcMar>
            <w:vAlign w:val="top"/>
          </w:tcPr>
          <w:p w14:paraId="2FB934F0">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≥50</w:t>
            </w:r>
          </w:p>
        </w:tc>
      </w:tr>
      <w:tr w14:paraId="67C22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85" w:hRule="atLeast"/>
        </w:trPr>
        <w:tc>
          <w:tcPr>
            <w:tcW w:w="2175" w:type="dxa"/>
            <w:vMerge w:val="restart"/>
            <w:tcBorders>
              <w:tl2br w:val="nil"/>
              <w:tr2bl w:val="nil"/>
            </w:tcBorders>
            <w:shd w:val="clear" w:color="auto" w:fill="auto"/>
            <w:tcMar>
              <w:top w:w="0" w:type="dxa"/>
              <w:left w:w="105" w:type="dxa"/>
              <w:bottom w:w="0" w:type="dxa"/>
              <w:right w:w="105" w:type="dxa"/>
            </w:tcMar>
            <w:vAlign w:val="center"/>
          </w:tcPr>
          <w:p w14:paraId="6F56C582">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阻燃性能</w:t>
            </w:r>
          </w:p>
        </w:tc>
        <w:tc>
          <w:tcPr>
            <w:tcW w:w="2175" w:type="dxa"/>
            <w:tcBorders>
              <w:tl2br w:val="nil"/>
              <w:tr2bl w:val="nil"/>
            </w:tcBorders>
            <w:shd w:val="clear" w:color="auto" w:fill="auto"/>
            <w:tcMar>
              <w:top w:w="0" w:type="dxa"/>
              <w:left w:w="105" w:type="dxa"/>
              <w:bottom w:w="0" w:type="dxa"/>
              <w:right w:w="105" w:type="dxa"/>
            </w:tcMar>
            <w:vAlign w:val="top"/>
          </w:tcPr>
          <w:p w14:paraId="18B0DA1F">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损毁长度，mm</w:t>
            </w:r>
          </w:p>
        </w:tc>
        <w:tc>
          <w:tcPr>
            <w:tcW w:w="4365" w:type="dxa"/>
            <w:tcBorders>
              <w:tl2br w:val="nil"/>
              <w:tr2bl w:val="nil"/>
            </w:tcBorders>
            <w:shd w:val="clear" w:color="auto" w:fill="auto"/>
            <w:tcMar>
              <w:top w:w="0" w:type="dxa"/>
              <w:left w:w="105" w:type="dxa"/>
              <w:bottom w:w="0" w:type="dxa"/>
              <w:right w:w="105" w:type="dxa"/>
            </w:tcMar>
            <w:vAlign w:val="top"/>
          </w:tcPr>
          <w:p w14:paraId="3086B443">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≤200</w:t>
            </w:r>
          </w:p>
        </w:tc>
      </w:tr>
      <w:tr w14:paraId="09ADF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35" w:hRule="atLeast"/>
        </w:trPr>
        <w:tc>
          <w:tcPr>
            <w:tcW w:w="2175" w:type="dxa"/>
            <w:vMerge w:val="continue"/>
            <w:tcBorders>
              <w:tl2br w:val="nil"/>
              <w:tr2bl w:val="nil"/>
            </w:tcBorders>
            <w:shd w:val="clear" w:color="auto" w:fill="auto"/>
            <w:tcMar>
              <w:top w:w="0" w:type="dxa"/>
              <w:left w:w="105" w:type="dxa"/>
              <w:bottom w:w="0" w:type="dxa"/>
              <w:right w:w="105" w:type="dxa"/>
            </w:tcMar>
            <w:vAlign w:val="center"/>
          </w:tcPr>
          <w:p w14:paraId="26397654">
            <w:pPr>
              <w:rPr>
                <w:rFonts w:hint="eastAsia" w:ascii="宋体"/>
                <w:sz w:val="24"/>
                <w:szCs w:val="24"/>
              </w:rPr>
            </w:pPr>
          </w:p>
        </w:tc>
        <w:tc>
          <w:tcPr>
            <w:tcW w:w="2175" w:type="dxa"/>
            <w:tcBorders>
              <w:tl2br w:val="nil"/>
              <w:tr2bl w:val="nil"/>
            </w:tcBorders>
            <w:shd w:val="clear" w:color="auto" w:fill="auto"/>
            <w:tcMar>
              <w:top w:w="0" w:type="dxa"/>
              <w:left w:w="105" w:type="dxa"/>
              <w:bottom w:w="0" w:type="dxa"/>
              <w:right w:w="105" w:type="dxa"/>
            </w:tcMar>
            <w:vAlign w:val="top"/>
          </w:tcPr>
          <w:p w14:paraId="44F7B0FD">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续、阴燃时间，s</w:t>
            </w:r>
          </w:p>
        </w:tc>
        <w:tc>
          <w:tcPr>
            <w:tcW w:w="4365" w:type="dxa"/>
            <w:tcBorders>
              <w:tl2br w:val="nil"/>
              <w:tr2bl w:val="nil"/>
            </w:tcBorders>
            <w:shd w:val="clear" w:color="auto" w:fill="auto"/>
            <w:tcMar>
              <w:top w:w="0" w:type="dxa"/>
              <w:left w:w="105" w:type="dxa"/>
              <w:bottom w:w="0" w:type="dxa"/>
              <w:right w:w="105" w:type="dxa"/>
            </w:tcMar>
            <w:vAlign w:val="top"/>
          </w:tcPr>
          <w:p w14:paraId="4ADCAE1A">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≤20</w:t>
            </w:r>
          </w:p>
        </w:tc>
      </w:tr>
      <w:tr w14:paraId="6FD0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35" w:hRule="atLeast"/>
        </w:trPr>
        <w:tc>
          <w:tcPr>
            <w:tcW w:w="2175" w:type="dxa"/>
            <w:vMerge w:val="continue"/>
            <w:tcBorders>
              <w:tl2br w:val="nil"/>
              <w:tr2bl w:val="nil"/>
            </w:tcBorders>
            <w:shd w:val="clear" w:color="auto" w:fill="auto"/>
            <w:tcMar>
              <w:top w:w="0" w:type="dxa"/>
              <w:left w:w="105" w:type="dxa"/>
              <w:bottom w:w="0" w:type="dxa"/>
              <w:right w:w="105" w:type="dxa"/>
            </w:tcMar>
            <w:vAlign w:val="center"/>
          </w:tcPr>
          <w:p w14:paraId="3B7EA080">
            <w:pPr>
              <w:rPr>
                <w:rFonts w:hint="eastAsia" w:ascii="宋体"/>
                <w:sz w:val="24"/>
                <w:szCs w:val="24"/>
              </w:rPr>
            </w:pPr>
          </w:p>
        </w:tc>
        <w:tc>
          <w:tcPr>
            <w:tcW w:w="2175" w:type="dxa"/>
            <w:tcBorders>
              <w:tl2br w:val="nil"/>
              <w:tr2bl w:val="nil"/>
            </w:tcBorders>
            <w:shd w:val="clear" w:color="auto" w:fill="auto"/>
            <w:tcMar>
              <w:top w:w="0" w:type="dxa"/>
              <w:left w:w="105" w:type="dxa"/>
              <w:bottom w:w="0" w:type="dxa"/>
              <w:right w:w="105" w:type="dxa"/>
            </w:tcMar>
            <w:vAlign w:val="top"/>
          </w:tcPr>
          <w:p w14:paraId="55ABB754">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熔融脱落物</w:t>
            </w:r>
          </w:p>
        </w:tc>
        <w:tc>
          <w:tcPr>
            <w:tcW w:w="4365" w:type="dxa"/>
            <w:tcBorders>
              <w:tl2br w:val="nil"/>
              <w:tr2bl w:val="nil"/>
            </w:tcBorders>
            <w:shd w:val="clear" w:color="auto" w:fill="auto"/>
            <w:tcMar>
              <w:top w:w="0" w:type="dxa"/>
              <w:left w:w="105" w:type="dxa"/>
              <w:bottom w:w="0" w:type="dxa"/>
              <w:right w:w="105" w:type="dxa"/>
            </w:tcMar>
            <w:vAlign w:val="top"/>
          </w:tcPr>
          <w:p w14:paraId="3378EEA8">
            <w:pPr>
              <w:pStyle w:val="5"/>
              <w:keepNext w:val="0"/>
              <w:keepLines w:val="0"/>
              <w:widowControl/>
              <w:suppressLineNumbers w:val="0"/>
              <w:spacing w:before="0" w:beforeAutospacing="0" w:after="0" w:afterAutospacing="0" w:line="300" w:lineRule="atLeast"/>
              <w:ind w:left="225" w:right="0"/>
              <w:jc w:val="center"/>
            </w:pPr>
            <w:r>
              <w:rPr>
                <w:rFonts w:hint="eastAsia" w:ascii="宋体" w:hAnsi="宋体" w:eastAsia="宋体" w:cs="宋体"/>
                <w:sz w:val="21"/>
                <w:szCs w:val="21"/>
              </w:rPr>
              <w:t>不得引起脱脂棉燃烧或阴燃</w:t>
            </w:r>
          </w:p>
        </w:tc>
      </w:tr>
    </w:tbl>
    <w:p w14:paraId="180FE963">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firstLine="480"/>
        <w:textAlignment w:val="auto"/>
      </w:pPr>
      <w:r>
        <w:rPr>
          <w:rFonts w:hint="eastAsia" w:ascii="宋体" w:hAnsi="宋体" w:eastAsia="宋体" w:cs="宋体"/>
          <w:sz w:val="28"/>
          <w:szCs w:val="28"/>
        </w:rPr>
        <w:t> 1.提供所投产品2019年经省 级及以上检测机构出具的检测报告复印件（加盖公章），原件备查。检测依据为GB/T4669-2008、GB/T3923.1-2013、 GB/T3923.3-2009、FZ/T01063—2008、FZ/T01004—2008、GB/T5455—2014、MZ/T015.1—2010及招标文件有关要求。检测项目必须有：PVC涂层布(单位面积质量、断裂强力、撕破强力、抗粘连性、静水压、阻燃性能)，Φ25mm×1.1mm焊接钢管（膜厚、壁厚、外径）。未提供检测报告或检测报告内的检测项目未达到招标文件要求的，视为投标无效。</w:t>
      </w:r>
    </w:p>
    <w:p w14:paraId="2E513602">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firstLine="555"/>
        <w:textAlignment w:val="auto"/>
      </w:pPr>
      <w:r>
        <w:rPr>
          <w:rFonts w:hint="eastAsia" w:ascii="宋体" w:hAnsi="宋体" w:eastAsia="宋体" w:cs="宋体"/>
          <w:sz w:val="28"/>
          <w:szCs w:val="28"/>
        </w:rPr>
        <w:t>2.包装：纸箱为双瓦楞纸，每4个折叠床装1箱，每床折叠床装入单独的聚乙烯塑料袋内，2个折叠床之间放置单层瓦楞纸片，防止刮花。</w:t>
      </w:r>
    </w:p>
    <w:p w14:paraId="7D7F1036">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firstLine="555"/>
        <w:textAlignment w:val="auto"/>
      </w:pPr>
      <w:r>
        <w:rPr>
          <w:rFonts w:hint="eastAsia" w:ascii="宋体" w:hAnsi="宋体" w:eastAsia="宋体" w:cs="宋体"/>
          <w:sz w:val="28"/>
          <w:szCs w:val="28"/>
        </w:rPr>
        <w:t>3.样品要求：折叠床、包装【塑料袋、纸箱截片（长、宽≥10cm）、打包带（长度≥10cm）】。未提供样品视为投标无效。</w:t>
      </w:r>
    </w:p>
    <w:p w14:paraId="35F4788E">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firstLine="555"/>
        <w:textAlignment w:val="auto"/>
      </w:pPr>
      <w:r>
        <w:rPr>
          <w:rFonts w:hint="eastAsia" w:ascii="宋体" w:hAnsi="宋体" w:eastAsia="宋体" w:cs="宋体"/>
          <w:sz w:val="28"/>
          <w:szCs w:val="28"/>
        </w:rPr>
        <w:t>4.包装印刷及其他要求：</w:t>
      </w:r>
    </w:p>
    <w:p w14:paraId="4D86679D">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textAlignment w:val="auto"/>
        <w:rPr>
          <w:b/>
          <w:bCs/>
        </w:rPr>
      </w:pPr>
      <w:r>
        <w:rPr>
          <w:rFonts w:hint="eastAsia" w:ascii="宋体" w:hAnsi="宋体" w:eastAsia="宋体" w:cs="宋体"/>
          <w:sz w:val="28"/>
          <w:szCs w:val="28"/>
        </w:rPr>
        <w:t>    （1）纸箱外两侧面均印刷黑色的产品名 称、数量、质量、体积、生产年月、型号、承制单位名 称。其中产品名 称、承制单位名 称为黑体字，其他为宋体字。产品名 称前加“救灾”二字且字体宽度为60mm，其他字体宽度为35mm，承制单位名 称字体大小可根据单位名 称字数酌情选择，参 考图见《图1：外包装印刷示意图》。</w:t>
      </w:r>
      <w:r>
        <w:rPr>
          <w:rFonts w:hint="eastAsia" w:ascii="宋体" w:hAnsi="宋体" w:eastAsia="宋体" w:cs="宋体"/>
          <w:sz w:val="28"/>
          <w:szCs w:val="28"/>
        </w:rPr>
        <w:br w:type="textWrapping"/>
      </w:r>
    </w:p>
    <w:p w14:paraId="1F8A1E2F">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038600" cy="2943225"/>
            <wp:effectExtent l="0" t="0" r="0" b="9525"/>
            <wp:docPr id="24" name="图片 24" descr="1562145368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62145368313.png"/>
                    <pic:cNvPicPr>
                      <a:picLocks noChangeAspect="1"/>
                    </pic:cNvPicPr>
                  </pic:nvPicPr>
                  <pic:blipFill>
                    <a:blip r:embed="rId5"/>
                    <a:stretch>
                      <a:fillRect/>
                    </a:stretch>
                  </pic:blipFill>
                  <pic:spPr>
                    <a:xfrm>
                      <a:off x="0" y="0"/>
                      <a:ext cx="4038600" cy="2943225"/>
                    </a:xfrm>
                    <a:prstGeom prst="rect">
                      <a:avLst/>
                    </a:prstGeom>
                    <a:noFill/>
                    <a:ln w="9525">
                      <a:noFill/>
                    </a:ln>
                  </pic:spPr>
                </pic:pic>
              </a:graphicData>
            </a:graphic>
          </wp:inline>
        </w:drawing>
      </w:r>
    </w:p>
    <w:p w14:paraId="3DA82349">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30" w:lineRule="exact"/>
        <w:ind w:left="0" w:right="0"/>
        <w:textAlignment w:val="auto"/>
      </w:pPr>
      <w:r>
        <w:rPr>
          <w:rFonts w:hint="eastAsia" w:ascii="宋体" w:hAnsi="宋体" w:eastAsia="宋体" w:cs="宋体"/>
          <w:sz w:val="28"/>
          <w:szCs w:val="28"/>
        </w:rPr>
        <w:t>（2）纸箱两侧面距封口8cm处需各贴1个超高频电子标签（每纸箱贴2个）。电子标签为纸质超高频电子标签，长度为100mm，宽度为50mm。电子标签编码规则在合同签订后由采购人提供，空白电子标签由中标人采购，电子标签打印采购人可协助，电子标签需由中标人在物资卸货时负责粘贴。中标人应严格按照要求粘贴电子标签，保证电子标签平整、美观、无损坏。电子标签采购、打印、粘贴等产生的费用由中标人承担，计入中标价。电子标签参 考图见《图2：电子标签示意图》。</w:t>
      </w:r>
    </w:p>
    <w:p w14:paraId="7198C7E0">
      <w:pPr>
        <w:pStyle w:val="5"/>
        <w:keepNext w:val="0"/>
        <w:keepLines w:val="0"/>
        <w:widowControl/>
        <w:suppressLineNumbers w:val="0"/>
        <w:spacing w:before="0" w:beforeAutospacing="0" w:after="150" w:afterAutospacing="0"/>
        <w:ind w:left="0" w:right="0"/>
        <w:jc w:val="center"/>
      </w:pPr>
      <w:r>
        <w:drawing>
          <wp:inline distT="0" distB="0" distL="114300" distR="114300">
            <wp:extent cx="4219575" cy="2333625"/>
            <wp:effectExtent l="0" t="0" r="9525" b="9525"/>
            <wp:docPr id="25" name="图片 25" descr="1562145394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562145394884.png"/>
                    <pic:cNvPicPr>
                      <a:picLocks noChangeAspect="1"/>
                    </pic:cNvPicPr>
                  </pic:nvPicPr>
                  <pic:blipFill>
                    <a:blip r:embed="rId10"/>
                    <a:stretch>
                      <a:fillRect/>
                    </a:stretch>
                  </pic:blipFill>
                  <pic:spPr>
                    <a:xfrm>
                      <a:off x="0" y="0"/>
                      <a:ext cx="4219575" cy="2333625"/>
                    </a:xfrm>
                    <a:prstGeom prst="rect">
                      <a:avLst/>
                    </a:prstGeom>
                    <a:noFill/>
                    <a:ln w="9525">
                      <a:noFill/>
                    </a:ln>
                  </pic:spPr>
                </pic:pic>
              </a:graphicData>
            </a:graphic>
          </wp:inline>
        </w:drawing>
      </w:r>
    </w:p>
    <w:p w14:paraId="28C67007">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30" w:lineRule="exact"/>
        <w:ind w:left="0" w:right="0"/>
        <w:textAlignment w:val="auto"/>
      </w:pPr>
      <w:r>
        <w:rPr>
          <w:rFonts w:hint="eastAsia" w:ascii="宋体" w:hAnsi="宋体" w:eastAsia="宋体" w:cs="宋体"/>
          <w:sz w:val="28"/>
          <w:szCs w:val="28"/>
        </w:rPr>
        <w:t>   （3）纸箱为双瓦楞纸，箱外需打井字型打包带，便于搬运。</w:t>
      </w:r>
    </w:p>
    <w:p w14:paraId="36B42917">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30" w:lineRule="exact"/>
        <w:ind w:left="0" w:right="0"/>
        <w:textAlignment w:val="auto"/>
      </w:pPr>
      <w:r>
        <w:rPr>
          <w:rFonts w:hint="eastAsia" w:ascii="宋体" w:hAnsi="宋体" w:eastAsia="宋体" w:cs="宋体"/>
          <w:sz w:val="28"/>
          <w:szCs w:val="28"/>
        </w:rPr>
        <w:t>    （4）每个纸箱内需附产品检验单一张，检验单样式见《图3 检验单》。其中“检验单”、“产品名 称”、“品等”、“生产日期”、“检验人员”和“承制单位名 称”标题为黑体字，其他为宋体字。检验单尺寸为B5纸的1/4。字体大小适宜。</w:t>
      </w:r>
    </w:p>
    <w:p w14:paraId="370D8420">
      <w:pPr>
        <w:pStyle w:val="5"/>
        <w:keepNext w:val="0"/>
        <w:keepLines w:val="0"/>
        <w:widowControl/>
        <w:suppressLineNumbers w:val="0"/>
        <w:spacing w:before="0" w:beforeAutospacing="0" w:after="150" w:afterAutospacing="0"/>
        <w:ind w:left="0" w:right="0"/>
        <w:jc w:val="center"/>
      </w:pPr>
      <w:r>
        <w:drawing>
          <wp:inline distT="0" distB="0" distL="114300" distR="114300">
            <wp:extent cx="3371850" cy="2019300"/>
            <wp:effectExtent l="0" t="0" r="0" b="0"/>
            <wp:docPr id="26" name="图片 26" descr="1562145419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562145419157.png"/>
                    <pic:cNvPicPr>
                      <a:picLocks noChangeAspect="1"/>
                    </pic:cNvPicPr>
                  </pic:nvPicPr>
                  <pic:blipFill>
                    <a:blip r:embed="rId7"/>
                    <a:stretch>
                      <a:fillRect/>
                    </a:stretch>
                  </pic:blipFill>
                  <pic:spPr>
                    <a:xfrm>
                      <a:off x="0" y="0"/>
                      <a:ext cx="3371850" cy="2019300"/>
                    </a:xfrm>
                    <a:prstGeom prst="rect">
                      <a:avLst/>
                    </a:prstGeom>
                    <a:noFill/>
                    <a:ln w="9525">
                      <a:noFill/>
                    </a:ln>
                  </pic:spPr>
                </pic:pic>
              </a:graphicData>
            </a:graphic>
          </wp:inline>
        </w:drawing>
      </w:r>
    </w:p>
    <w:p w14:paraId="71A24857">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shd w:val="clear" w:fill="FFFFFF"/>
        </w:rPr>
      </w:pPr>
    </w:p>
    <w:p w14:paraId="62B88049">
      <w:pPr>
        <w:pStyle w:val="5"/>
        <w:keepNext w:val="0"/>
        <w:keepLines w:val="0"/>
        <w:widowControl/>
        <w:suppressLineNumbers w:val="0"/>
        <w:spacing w:before="0" w:beforeAutospacing="0" w:after="150" w:afterAutospacing="0" w:line="555" w:lineRule="atLeast"/>
        <w:ind w:right="0"/>
      </w:pPr>
      <w:r>
        <w:rPr>
          <w:rFonts w:hint="eastAsia" w:ascii="黑体" w:hAnsi="宋体" w:eastAsia="黑体" w:cs="黑体"/>
          <w:sz w:val="28"/>
          <w:szCs w:val="28"/>
          <w:shd w:val="clear" w:fill="FFFFFF"/>
        </w:rPr>
        <w:t>合同包6:雨衣雨靴</w:t>
      </w:r>
    </w:p>
    <w:p w14:paraId="654643C2">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    1.雨衣：面料：成分100%</w:t>
      </w:r>
      <w:r>
        <w:rPr>
          <w:rFonts w:hint="eastAsia" w:ascii="宋体" w:hAnsi="宋体" w:eastAsia="宋体" w:cs="宋体"/>
          <w:color w:val="333333"/>
          <w:sz w:val="28"/>
          <w:szCs w:val="28"/>
          <w:shd w:val="clear" w:fill="FFFFFF"/>
        </w:rPr>
        <w:t>聚酯纤维</w:t>
      </w:r>
      <w:r>
        <w:rPr>
          <w:rFonts w:hint="eastAsia" w:ascii="宋体" w:hAnsi="宋体" w:eastAsia="宋体" w:cs="宋体"/>
          <w:sz w:val="28"/>
          <w:szCs w:val="28"/>
        </w:rPr>
        <w:t>，克重≥110g/m2，静水压≥40kPa(mmH20)，透湿量≥4000g/（m2﹒d）；耐水色牢度≥3级；里料：190T涤塔夫,成分100%聚酯纤维，克重≥40g/m2；超大帽檐配合松紧绳设 计，雨帽可收缩到后衣领中；门襟采用树脂拉链和按扣，门襟两侧设置两个隐藏口袋；高亮反光条，前胸和后背各一道反光条，具备夜间作业的识别功能；热封条应热封平整，热封条粘合后宽度≥16mm; 颜色：藏青色。型号：</w:t>
      </w:r>
      <w:r>
        <w:rPr>
          <w:rFonts w:hint="eastAsia" w:ascii="宋体" w:hAnsi="宋体" w:eastAsia="宋体" w:cs="宋体"/>
          <w:sz w:val="28"/>
          <w:szCs w:val="28"/>
          <w:shd w:val="clear" w:fill="FFFFFF"/>
        </w:rPr>
        <w:t>根据采购方要求在采购合同中约定。</w:t>
      </w:r>
      <w:r>
        <w:rPr>
          <w:rFonts w:hint="eastAsia" w:ascii="宋体" w:hAnsi="宋体" w:eastAsia="宋体" w:cs="宋体"/>
          <w:sz w:val="28"/>
          <w:szCs w:val="28"/>
        </w:rPr>
        <w:t>参 考样式如下：</w:t>
      </w:r>
    </w:p>
    <w:p w14:paraId="5B8ADF45">
      <w:pPr>
        <w:pStyle w:val="5"/>
        <w:keepNext w:val="0"/>
        <w:keepLines w:val="0"/>
        <w:widowControl/>
        <w:suppressLineNumbers w:val="0"/>
        <w:spacing w:before="0" w:beforeAutospacing="0" w:after="150" w:afterAutospacing="0"/>
        <w:ind w:left="0" w:right="0"/>
        <w:jc w:val="center"/>
      </w:pPr>
      <w:r>
        <w:drawing>
          <wp:inline distT="0" distB="0" distL="114300" distR="114300">
            <wp:extent cx="4857750" cy="3524250"/>
            <wp:effectExtent l="0" t="0" r="0" b="0"/>
            <wp:docPr id="27" name="图片 27" descr="1562145661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562145661252.png"/>
                    <pic:cNvPicPr>
                      <a:picLocks noChangeAspect="1"/>
                    </pic:cNvPicPr>
                  </pic:nvPicPr>
                  <pic:blipFill>
                    <a:blip r:embed="rId21"/>
                    <a:stretch>
                      <a:fillRect/>
                    </a:stretch>
                  </pic:blipFill>
                  <pic:spPr>
                    <a:xfrm>
                      <a:off x="0" y="0"/>
                      <a:ext cx="4857750" cy="3524250"/>
                    </a:xfrm>
                    <a:prstGeom prst="rect">
                      <a:avLst/>
                    </a:prstGeom>
                    <a:noFill/>
                    <a:ln w="9525">
                      <a:noFill/>
                    </a:ln>
                  </pic:spPr>
                </pic:pic>
              </a:graphicData>
            </a:graphic>
          </wp:inline>
        </w:drawing>
      </w:r>
    </w:p>
    <w:p w14:paraId="68C812C7">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14:paraId="38F0903A">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14:paraId="041C1C5C">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14:paraId="3A32AC8E">
      <w:pPr>
        <w:pStyle w:val="5"/>
        <w:keepNext w:val="0"/>
        <w:keepLines w:val="0"/>
        <w:widowControl/>
        <w:suppressLineNumbers w:val="0"/>
        <w:spacing w:before="0" w:beforeAutospacing="0" w:after="150" w:afterAutospacing="0" w:line="600" w:lineRule="atLeast"/>
        <w:ind w:left="0" w:right="0" w:firstLine="555"/>
      </w:pPr>
      <w:r>
        <w:rPr>
          <w:rFonts w:hint="eastAsia" w:ascii="宋体" w:hAnsi="宋体" w:eastAsia="宋体" w:cs="宋体"/>
          <w:sz w:val="28"/>
          <w:szCs w:val="28"/>
        </w:rPr>
        <w:t>2.雨靴：天然橡胶，棉布内里，圆头设 计，防滑耐磨橡胶底，黑色，帮高≥30cm。型号：</w:t>
      </w:r>
      <w:r>
        <w:rPr>
          <w:rFonts w:hint="eastAsia" w:ascii="宋体" w:hAnsi="宋体" w:eastAsia="宋体" w:cs="宋体"/>
          <w:sz w:val="28"/>
          <w:szCs w:val="28"/>
          <w:shd w:val="clear" w:fill="FFFFFF"/>
        </w:rPr>
        <w:t>根据采购方要求在采购合同中约定。</w:t>
      </w:r>
    </w:p>
    <w:p w14:paraId="212C39E9">
      <w:pPr>
        <w:pStyle w:val="5"/>
        <w:keepNext w:val="0"/>
        <w:keepLines w:val="0"/>
        <w:widowControl/>
        <w:suppressLineNumbers w:val="0"/>
        <w:spacing w:before="0" w:beforeAutospacing="0" w:after="150" w:afterAutospacing="0" w:line="600" w:lineRule="atLeast"/>
        <w:ind w:left="0" w:right="0" w:firstLine="555"/>
      </w:pPr>
      <w:r>
        <w:rPr>
          <w:rFonts w:hint="eastAsia" w:ascii="宋体" w:hAnsi="宋体" w:eastAsia="宋体" w:cs="宋体"/>
          <w:sz w:val="28"/>
          <w:szCs w:val="28"/>
        </w:rPr>
        <w:t>3.提供所投产品2019年经省 级及以上检测机构出具的检测报告复印件（加盖公章），原件备查。雨衣检测依据为GB18401-2010《国家纺织产品基本安全技术规范》 C类、GB/T 4744-2013《纺织品防水性能的检测和评价》、GB/T 12704.2-2009(方法B 蒸发法)《纺织品织物透湿性试验方法》、QB/T4999-2016《日用防雨品雨披雨衣》有关要求，雨衣检测项目必须有：面料和里料成分、PH值、甲醛、克重；面料的耐水色牢度、静水压及透湿量。雨靴检测依据为符合HG/T 2019-2011《黑色雨靴（鞋）》合格品要求，雨靴检测项目必须有：拉伸强度、拉断伸长率、硬度、磨耗量、拉伸强度老化性能保持率(鞋面、鞋底)；鞋面漆膜伸长率、粘合强度、厚度。未提供检测报告或检测报告内的检测项目未达到招标文件要求的，视为投标无效。</w:t>
      </w:r>
    </w:p>
    <w:p w14:paraId="3656B629">
      <w:pPr>
        <w:pStyle w:val="5"/>
        <w:keepNext w:val="0"/>
        <w:keepLines w:val="0"/>
        <w:widowControl/>
        <w:suppressLineNumbers w:val="0"/>
        <w:spacing w:before="0" w:beforeAutospacing="0" w:after="150" w:afterAutospacing="0" w:line="600" w:lineRule="atLeast"/>
        <w:ind w:left="0" w:right="0" w:firstLine="555"/>
      </w:pPr>
      <w:r>
        <w:rPr>
          <w:rFonts w:hint="eastAsia" w:ascii="宋体" w:hAnsi="宋体" w:eastAsia="宋体" w:cs="宋体"/>
          <w:sz w:val="28"/>
          <w:szCs w:val="28"/>
        </w:rPr>
        <w:t>4.包装：每20件雨衣装1箱，每件雨衣装入单独的塑料袋内；每10双雨靴装1箱，每双雨靴装入单独的塑料袋内。</w:t>
      </w:r>
    </w:p>
    <w:p w14:paraId="34DD88D9">
      <w:pPr>
        <w:pStyle w:val="5"/>
        <w:keepNext w:val="0"/>
        <w:keepLines w:val="0"/>
        <w:widowControl/>
        <w:suppressLineNumbers w:val="0"/>
        <w:spacing w:before="0" w:beforeAutospacing="0" w:after="150" w:afterAutospacing="0" w:line="600" w:lineRule="atLeast"/>
        <w:ind w:left="0" w:right="0" w:firstLine="555"/>
      </w:pPr>
      <w:r>
        <w:rPr>
          <w:rFonts w:hint="eastAsia" w:ascii="宋体" w:hAnsi="宋体" w:eastAsia="宋体" w:cs="宋体"/>
          <w:sz w:val="28"/>
          <w:szCs w:val="28"/>
        </w:rPr>
        <w:t>5.样品要求：雨衣雨靴、包装【塑料袋、纸箱截片（长、宽≥10cm）、打包带（长度≥10cm）】。未提供样品视为投标无效。</w:t>
      </w:r>
    </w:p>
    <w:p w14:paraId="6A6A078C">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14:paraId="7F59CE1A">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14:paraId="382FE93D">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14:paraId="3FF75B6E">
      <w:pPr>
        <w:pStyle w:val="5"/>
        <w:keepNext w:val="0"/>
        <w:keepLines w:val="0"/>
        <w:widowControl/>
        <w:suppressLineNumbers w:val="0"/>
        <w:spacing w:before="0" w:beforeAutospacing="0" w:after="150" w:afterAutospacing="0" w:line="600" w:lineRule="atLeast"/>
        <w:ind w:left="0" w:right="0" w:firstLine="555"/>
      </w:pPr>
      <w:r>
        <w:rPr>
          <w:rFonts w:hint="eastAsia" w:ascii="宋体" w:hAnsi="宋体" w:eastAsia="宋体" w:cs="宋体"/>
          <w:sz w:val="28"/>
          <w:szCs w:val="28"/>
        </w:rPr>
        <w:t>6.包装印刷及其他要求：</w:t>
      </w:r>
    </w:p>
    <w:p w14:paraId="17C78072">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textAlignment w:val="auto"/>
      </w:pPr>
      <w:r>
        <w:rPr>
          <w:rFonts w:hint="eastAsia" w:ascii="宋体" w:hAnsi="宋体" w:eastAsia="宋体" w:cs="宋体"/>
          <w:sz w:val="28"/>
          <w:szCs w:val="28"/>
        </w:rPr>
        <w:t>    （1）纸箱外两侧面均印刷黑色的产品名 称、数量、质量、体积、生产年月、型号、承制单位名 称。其中产品名 称、承制单位名 称为黑体字，其他为宋体字。产品名 称前加“救灾”二字且字体宽度为60mm，其他字体宽度为35mm，承制单位名 称字体大小可根据单位名 称字数酌情选择，参 考图见《图1：外包装印刷示意图》。</w:t>
      </w:r>
    </w:p>
    <w:p w14:paraId="36F41152">
      <w:pPr>
        <w:pStyle w:val="5"/>
        <w:keepNext w:val="0"/>
        <w:keepLines w:val="0"/>
        <w:widowControl/>
        <w:suppressLineNumbers w:val="0"/>
        <w:spacing w:before="0" w:beforeAutospacing="0" w:after="150" w:afterAutospacing="0"/>
        <w:ind w:left="0" w:right="0"/>
        <w:jc w:val="center"/>
      </w:pPr>
      <w:r>
        <w:drawing>
          <wp:inline distT="0" distB="0" distL="114300" distR="114300">
            <wp:extent cx="4038600" cy="2404110"/>
            <wp:effectExtent l="0" t="0" r="0" b="15240"/>
            <wp:docPr id="28" name="图片 28" descr="1562145697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62145697390.png"/>
                    <pic:cNvPicPr>
                      <a:picLocks noChangeAspect="1"/>
                    </pic:cNvPicPr>
                  </pic:nvPicPr>
                  <pic:blipFill>
                    <a:blip r:embed="rId5"/>
                    <a:stretch>
                      <a:fillRect/>
                    </a:stretch>
                  </pic:blipFill>
                  <pic:spPr>
                    <a:xfrm>
                      <a:off x="0" y="0"/>
                      <a:ext cx="4038600" cy="2404110"/>
                    </a:xfrm>
                    <a:prstGeom prst="rect">
                      <a:avLst/>
                    </a:prstGeom>
                    <a:noFill/>
                    <a:ln w="9525">
                      <a:noFill/>
                    </a:ln>
                  </pic:spPr>
                </pic:pic>
              </a:graphicData>
            </a:graphic>
          </wp:inline>
        </w:drawing>
      </w:r>
    </w:p>
    <w:p w14:paraId="28765A81">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textAlignment w:val="auto"/>
      </w:pPr>
      <w:r>
        <w:rPr>
          <w:rFonts w:hint="eastAsia" w:ascii="宋体" w:hAnsi="宋体" w:eastAsia="宋体" w:cs="宋体"/>
          <w:sz w:val="28"/>
          <w:szCs w:val="28"/>
        </w:rPr>
        <w:t>    （2）纸箱两侧面距封口8cm处需各贴1个超高频电子标签（每纸箱贴2个）。电子标签为纸质超高频电子标签，长度为100mm，宽度为50mm。电子标签编码规则在合同签订后由采购人提供，空白电子标签由中标人采购，电子标签打印采购人可协助，电子标签需由中标人在物资卸货时负责粘贴。中标人应严格按照要求粘贴电子标签，保证电子标签平整、美观、无损坏。电子标签采购、打印、粘贴等产生的费用由中标人承担，计入中标价。电子标签参 考图见《图2：电子标签示意图》。</w:t>
      </w:r>
    </w:p>
    <w:p w14:paraId="57EB8489">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8"/>
          <w:szCs w:val="28"/>
        </w:rPr>
        <w:drawing>
          <wp:inline distT="0" distB="0" distL="114300" distR="114300">
            <wp:extent cx="4210050" cy="2091690"/>
            <wp:effectExtent l="0" t="0" r="0" b="3810"/>
            <wp:docPr id="29" name="图片 29" descr="1562145729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62145729601.png"/>
                    <pic:cNvPicPr>
                      <a:picLocks noChangeAspect="1"/>
                    </pic:cNvPicPr>
                  </pic:nvPicPr>
                  <pic:blipFill>
                    <a:blip r:embed="rId6"/>
                    <a:stretch>
                      <a:fillRect/>
                    </a:stretch>
                  </pic:blipFill>
                  <pic:spPr>
                    <a:xfrm>
                      <a:off x="0" y="0"/>
                      <a:ext cx="4210050" cy="2091690"/>
                    </a:xfrm>
                    <a:prstGeom prst="rect">
                      <a:avLst/>
                    </a:prstGeom>
                    <a:noFill/>
                    <a:ln w="9525">
                      <a:noFill/>
                    </a:ln>
                  </pic:spPr>
                </pic:pic>
              </a:graphicData>
            </a:graphic>
          </wp:inline>
        </w:drawing>
      </w:r>
    </w:p>
    <w:p w14:paraId="4CE45F84">
      <w:pPr>
        <w:pStyle w:val="5"/>
        <w:keepNext w:val="0"/>
        <w:keepLines w:val="0"/>
        <w:widowControl/>
        <w:suppressLineNumbers w:val="0"/>
        <w:spacing w:before="0" w:beforeAutospacing="0" w:after="150" w:afterAutospacing="0" w:line="600" w:lineRule="atLeast"/>
        <w:ind w:right="0" w:firstLine="840" w:firstLineChars="300"/>
      </w:pPr>
      <w:r>
        <w:rPr>
          <w:rFonts w:hint="eastAsia" w:ascii="宋体" w:hAnsi="宋体" w:eastAsia="宋体" w:cs="宋体"/>
          <w:sz w:val="28"/>
          <w:szCs w:val="28"/>
        </w:rPr>
        <w:t>（3）纸箱为双瓦楞纸，箱外需打井字型打包带，便于搬运。</w:t>
      </w:r>
    </w:p>
    <w:p w14:paraId="520F9DF0">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（4）每个纸箱内需附产品检验单一张，检验单样式见《图3 检验单》。其中“检验单”、“产品名 称”、“品等”、“生产日期”、“检验人员”和“承制单位名 称”标题为黑体字，其他为宋体字。检验单尺寸为B5纸的1/4。字体大小适宜。</w:t>
      </w:r>
    </w:p>
    <w:p w14:paraId="0F319557">
      <w:pPr>
        <w:pStyle w:val="5"/>
        <w:keepNext w:val="0"/>
        <w:keepLines w:val="0"/>
        <w:widowControl/>
        <w:suppressLineNumbers w:val="0"/>
        <w:spacing w:before="0" w:beforeAutospacing="0" w:after="150" w:afterAutospacing="0"/>
        <w:ind w:left="0" w:right="0"/>
        <w:jc w:val="center"/>
      </w:pPr>
      <w:r>
        <w:drawing>
          <wp:inline distT="0" distB="0" distL="114300" distR="114300">
            <wp:extent cx="3362325" cy="2009775"/>
            <wp:effectExtent l="0" t="0" r="9525" b="9525"/>
            <wp:docPr id="30" name="图片 30" descr="1562145754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62145754341.png"/>
                    <pic:cNvPicPr>
                      <a:picLocks noChangeAspect="1"/>
                    </pic:cNvPicPr>
                  </pic:nvPicPr>
                  <pic:blipFill>
                    <a:blip r:embed="rId22"/>
                    <a:stretch>
                      <a:fillRect/>
                    </a:stretch>
                  </pic:blipFill>
                  <pic:spPr>
                    <a:xfrm>
                      <a:off x="0" y="0"/>
                      <a:ext cx="3362325" cy="2009775"/>
                    </a:xfrm>
                    <a:prstGeom prst="rect">
                      <a:avLst/>
                    </a:prstGeom>
                    <a:noFill/>
                    <a:ln w="9525">
                      <a:noFill/>
                    </a:ln>
                  </pic:spPr>
                </pic:pic>
              </a:graphicData>
            </a:graphic>
          </wp:inline>
        </w:drawing>
      </w:r>
    </w:p>
    <w:p w14:paraId="138431B5">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shd w:val="clear" w:fill="FFFFFF"/>
        </w:rPr>
      </w:pPr>
    </w:p>
    <w:p w14:paraId="71C68E8A">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shd w:val="clear" w:fill="FFFFFF"/>
        </w:rPr>
      </w:pPr>
    </w:p>
    <w:p w14:paraId="608E5A2B">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shd w:val="clear" w:fill="FFFFFF"/>
        </w:rPr>
      </w:pPr>
    </w:p>
    <w:p w14:paraId="1B75CD53">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shd w:val="clear" w:fill="FFFFFF"/>
        </w:rPr>
      </w:pPr>
    </w:p>
    <w:p w14:paraId="08831D6D">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shd w:val="clear" w:fill="FFFFFF"/>
        </w:rPr>
      </w:pPr>
    </w:p>
    <w:p w14:paraId="34424D45">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shd w:val="clear" w:fill="FFFFFF"/>
        </w:rPr>
      </w:pPr>
    </w:p>
    <w:p w14:paraId="3E296BD6">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shd w:val="clear" w:fill="FFFFFF"/>
        </w:rPr>
      </w:pPr>
    </w:p>
    <w:p w14:paraId="65D2F01D">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shd w:val="clear" w:fill="FFFFFF"/>
        </w:rPr>
      </w:pPr>
    </w:p>
    <w:p w14:paraId="276848B1">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shd w:val="clear" w:fill="FFFFFF"/>
        </w:rPr>
      </w:pPr>
    </w:p>
    <w:p w14:paraId="5777B055">
      <w:pPr>
        <w:pStyle w:val="5"/>
        <w:keepNext w:val="0"/>
        <w:keepLines w:val="0"/>
        <w:widowControl/>
        <w:suppressLineNumbers w:val="0"/>
        <w:spacing w:before="0" w:beforeAutospacing="0" w:after="150" w:afterAutospacing="0" w:line="555" w:lineRule="atLeast"/>
        <w:ind w:left="0" w:right="0" w:firstLine="555"/>
      </w:pPr>
      <w:r>
        <w:rPr>
          <w:rFonts w:hint="eastAsia" w:ascii="黑体" w:hAnsi="宋体" w:eastAsia="黑体" w:cs="黑体"/>
          <w:sz w:val="28"/>
          <w:szCs w:val="28"/>
          <w:shd w:val="clear" w:fill="FFFFFF"/>
        </w:rPr>
        <w:t>合同包7:3KG棉被</w:t>
      </w:r>
    </w:p>
    <w:p w14:paraId="71C45D68">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1.被套: 重1千克，长2150mm±3%，宽为1500mm±3%；面料32/32，颜色不能为单色，要求有花纹或印花；成分含量：棉80%±5，涤20%±5；缝制被套针脚均匀；在成品宽度一端安装95-100CM4#尼龙拉链一条。</w:t>
      </w:r>
    </w:p>
    <w:p w14:paraId="0BC55E71">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2.棉胎：重3千克，长2100mm，宽1500mm；成分含量：</w:t>
      </w:r>
      <w:r>
        <w:rPr>
          <w:rFonts w:hint="eastAsia" w:ascii="宋体" w:hAnsi="宋体" w:eastAsia="宋体" w:cs="宋体"/>
          <w:sz w:val="28"/>
          <w:szCs w:val="28"/>
          <w:shd w:val="clear" w:fill="FFFFFF"/>
        </w:rPr>
        <w:t>棉100%，</w:t>
      </w:r>
      <w:r>
        <w:rPr>
          <w:rFonts w:hint="eastAsia" w:ascii="宋体" w:hAnsi="宋体" w:eastAsia="宋体" w:cs="宋体"/>
          <w:sz w:val="28"/>
          <w:szCs w:val="28"/>
        </w:rPr>
        <w:t>棉花颜色级为白棉三级。</w:t>
      </w:r>
    </w:p>
    <w:p w14:paraId="33C1B565">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3.提供所投产品2019年经省 级及以上检测机构出具的检测报告复印件（加盖公章），原件备查。检测依据为GB/T22796-2009(一等品)、GB18401-2010（B类）、GB18383-2007及招标文件有关要求,检测项目必须有：被套（重量、尺寸、纤维含量、PH值、甲醛含量、可分解致癌芳香胺染料、耐干摩擦色牢度），棉胎（重量、尺寸、纤维含量、颜色级）。未提供检测报告或检测报告内的检测项目未达到招标文件要求的，视为投标无效</w:t>
      </w:r>
    </w:p>
    <w:p w14:paraId="6C0F0E88">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4.包装：8床每包。外包装为单面复膜型聚丙烯编织布，符合GB/T 2918—1998标准要求。编织布结合处用Φ0.2cm绳缝合牢固，用Φ0.7cm麻绳捆扎成“卅”型，横竖均为双道。外包装内衬牛皮纸。</w:t>
      </w:r>
    </w:p>
    <w:p w14:paraId="30170A27">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5.样品：（被套、棉胎）、外包装（单面复膜型聚丙烯编织布、内衬牛皮纸、Φ0.7cm麻绳（长度≥10㎝）、Φ0.2cm绳（长度≥10㎝））。未提供样品视为投标无效。</w:t>
      </w:r>
    </w:p>
    <w:p w14:paraId="5C0FE847">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    6.包装印刷机其他要求：外包装正面需印刷黑色的产品名 称、数量、质量、体积、生产年月、型号、承制单位名 称。其中产品名 称、承制单位名 称为黑体字，其他为宋体字。产品名 称前加“救灾”二字且字体宽度为60mm，其他字体宽度为35mm，承制单位名 称字体大小可根据单位名 称字数酌情选择，参 考图见《图1：外包装印刷示意图》。</w:t>
      </w:r>
    </w:p>
    <w:p w14:paraId="54B089CF">
      <w:pPr>
        <w:pStyle w:val="5"/>
        <w:keepNext w:val="0"/>
        <w:keepLines w:val="0"/>
        <w:widowControl/>
        <w:suppressLineNumbers w:val="0"/>
        <w:spacing w:before="0" w:beforeAutospacing="0" w:after="150" w:afterAutospacing="0"/>
        <w:ind w:left="0" w:right="0"/>
      </w:pPr>
      <w:r>
        <w:drawing>
          <wp:inline distT="0" distB="0" distL="114300" distR="114300">
            <wp:extent cx="4038600" cy="2943225"/>
            <wp:effectExtent l="0" t="0" r="0" b="9525"/>
            <wp:docPr id="31" name="图片 31" descr="1562145781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562145781720.png"/>
                    <pic:cNvPicPr>
                      <a:picLocks noChangeAspect="1"/>
                    </pic:cNvPicPr>
                  </pic:nvPicPr>
                  <pic:blipFill>
                    <a:blip r:embed="rId5"/>
                    <a:stretch>
                      <a:fillRect/>
                    </a:stretch>
                  </pic:blipFill>
                  <pic:spPr>
                    <a:xfrm>
                      <a:off x="0" y="0"/>
                      <a:ext cx="4038600" cy="2943225"/>
                    </a:xfrm>
                    <a:prstGeom prst="rect">
                      <a:avLst/>
                    </a:prstGeom>
                    <a:noFill/>
                    <a:ln w="9525">
                      <a:noFill/>
                    </a:ln>
                  </pic:spPr>
                </pic:pic>
              </a:graphicData>
            </a:graphic>
          </wp:inline>
        </w:drawing>
      </w:r>
    </w:p>
    <w:p w14:paraId="105D9949">
      <w:pPr>
        <w:pStyle w:val="5"/>
        <w:keepNext w:val="0"/>
        <w:keepLines w:val="0"/>
        <w:widowControl/>
        <w:suppressLineNumbers w:val="0"/>
        <w:spacing w:before="0" w:beforeAutospacing="0" w:after="150" w:afterAutospacing="0"/>
        <w:ind w:left="0" w:right="0"/>
        <w:rPr>
          <w:rFonts w:hint="eastAsia" w:ascii="宋体" w:hAnsi="宋体" w:eastAsia="宋体" w:cs="宋体"/>
          <w:sz w:val="28"/>
          <w:szCs w:val="28"/>
        </w:rPr>
      </w:pPr>
      <w:r>
        <w:rPr>
          <w:rFonts w:hint="eastAsia" w:ascii="宋体" w:hAnsi="宋体" w:eastAsia="宋体" w:cs="宋体"/>
          <w:sz w:val="28"/>
          <w:szCs w:val="28"/>
        </w:rPr>
        <w:t xml:space="preserve">    </w:t>
      </w:r>
    </w:p>
    <w:p w14:paraId="4A31DD4F">
      <w:pPr>
        <w:pStyle w:val="5"/>
        <w:keepNext w:val="0"/>
        <w:keepLines w:val="0"/>
        <w:widowControl/>
        <w:suppressLineNumbers w:val="0"/>
        <w:spacing w:before="0" w:beforeAutospacing="0" w:after="150" w:afterAutospacing="0"/>
        <w:ind w:left="0" w:right="0"/>
        <w:rPr>
          <w:rFonts w:hint="eastAsia" w:ascii="宋体" w:hAnsi="宋体" w:eastAsia="宋体" w:cs="宋体"/>
          <w:sz w:val="28"/>
          <w:szCs w:val="28"/>
        </w:rPr>
      </w:pPr>
    </w:p>
    <w:p w14:paraId="27735170">
      <w:pPr>
        <w:pStyle w:val="5"/>
        <w:keepNext w:val="0"/>
        <w:keepLines w:val="0"/>
        <w:widowControl/>
        <w:suppressLineNumbers w:val="0"/>
        <w:spacing w:before="0" w:beforeAutospacing="0" w:after="150" w:afterAutospacing="0"/>
        <w:ind w:left="0" w:right="0"/>
        <w:rPr>
          <w:rFonts w:hint="eastAsia" w:ascii="宋体" w:hAnsi="宋体" w:eastAsia="宋体" w:cs="宋体"/>
          <w:sz w:val="28"/>
          <w:szCs w:val="28"/>
        </w:rPr>
      </w:pPr>
    </w:p>
    <w:p w14:paraId="6D12BE92">
      <w:pPr>
        <w:pStyle w:val="5"/>
        <w:keepNext w:val="0"/>
        <w:keepLines w:val="0"/>
        <w:widowControl/>
        <w:suppressLineNumbers w:val="0"/>
        <w:spacing w:before="0" w:beforeAutospacing="0" w:after="150" w:afterAutospacing="0"/>
        <w:ind w:left="0" w:right="0"/>
        <w:rPr>
          <w:rFonts w:hint="eastAsia" w:ascii="宋体" w:hAnsi="宋体" w:eastAsia="宋体" w:cs="宋体"/>
          <w:sz w:val="28"/>
          <w:szCs w:val="28"/>
        </w:rPr>
      </w:pPr>
    </w:p>
    <w:p w14:paraId="20DA2BDB">
      <w:pPr>
        <w:pStyle w:val="5"/>
        <w:keepNext w:val="0"/>
        <w:keepLines w:val="0"/>
        <w:widowControl/>
        <w:suppressLineNumbers w:val="0"/>
        <w:spacing w:before="0" w:beforeAutospacing="0" w:after="150" w:afterAutospacing="0"/>
        <w:ind w:left="0" w:right="0"/>
        <w:rPr>
          <w:rFonts w:hint="eastAsia" w:ascii="宋体" w:hAnsi="宋体" w:eastAsia="宋体" w:cs="宋体"/>
          <w:sz w:val="28"/>
          <w:szCs w:val="28"/>
        </w:rPr>
      </w:pPr>
    </w:p>
    <w:p w14:paraId="3471AD7F">
      <w:pPr>
        <w:pStyle w:val="5"/>
        <w:keepNext w:val="0"/>
        <w:keepLines w:val="0"/>
        <w:widowControl/>
        <w:suppressLineNumbers w:val="0"/>
        <w:spacing w:before="0" w:beforeAutospacing="0" w:after="150" w:afterAutospacing="0"/>
        <w:ind w:left="0" w:right="0"/>
        <w:rPr>
          <w:rFonts w:hint="eastAsia" w:ascii="宋体" w:hAnsi="宋体" w:eastAsia="宋体" w:cs="宋体"/>
          <w:sz w:val="28"/>
          <w:szCs w:val="28"/>
        </w:rPr>
      </w:pPr>
    </w:p>
    <w:p w14:paraId="201E1172">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firstLine="840" w:firstLineChars="300"/>
        <w:textAlignment w:val="auto"/>
      </w:pPr>
      <w:r>
        <w:rPr>
          <w:rFonts w:hint="eastAsia" w:ascii="宋体" w:hAnsi="宋体" w:eastAsia="宋体" w:cs="宋体"/>
          <w:sz w:val="28"/>
          <w:szCs w:val="28"/>
        </w:rPr>
        <w:t>（1）外包装最小面一侧左上角需挂上挂签，挂签整体长度不小于250mm，挂签面板宽度不小于58mm，长度不小于100mm。挂签面板上需贴上电子标签，电子标签为纸质超高频电子标签，长度为100mm，宽度为50mm。电子标签编码规则在合同签订后由采购人提供，空白电子标签由中标人提供，电子标签打印采购人可协助，电子标签需由中标人在物资卸货时负责粘贴。中标人应严格按照要求粘贴电子标签，保证电子标签平整、美观、无损坏。空白电子标签及挂签采购、打印、粘贴等产生的费用由中标人承担，包含在投标价中。电子标签参 考见《图2：电子标签示意图》，挂签参 考图见《图3：挂签示意图》。</w:t>
      </w:r>
    </w:p>
    <w:p w14:paraId="7503C955">
      <w:pPr>
        <w:pStyle w:val="5"/>
        <w:keepNext w:val="0"/>
        <w:keepLines w:val="0"/>
        <w:widowControl/>
        <w:suppressLineNumbers w:val="0"/>
        <w:spacing w:before="0" w:beforeAutospacing="0" w:after="150" w:afterAutospacing="0"/>
        <w:ind w:left="0" w:right="0"/>
        <w:jc w:val="center"/>
      </w:pPr>
      <w:r>
        <w:drawing>
          <wp:inline distT="0" distB="0" distL="114300" distR="114300">
            <wp:extent cx="4305300" cy="2486025"/>
            <wp:effectExtent l="0" t="0" r="0" b="9525"/>
            <wp:docPr id="32" name="图片 32" descr="1562145806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562145806058.png"/>
                    <pic:cNvPicPr>
                      <a:picLocks noChangeAspect="1"/>
                    </pic:cNvPicPr>
                  </pic:nvPicPr>
                  <pic:blipFill>
                    <a:blip r:embed="rId23"/>
                    <a:stretch>
                      <a:fillRect/>
                    </a:stretch>
                  </pic:blipFill>
                  <pic:spPr>
                    <a:xfrm>
                      <a:off x="0" y="0"/>
                      <a:ext cx="4305300" cy="2486025"/>
                    </a:xfrm>
                    <a:prstGeom prst="rect">
                      <a:avLst/>
                    </a:prstGeom>
                    <a:noFill/>
                    <a:ln w="9525">
                      <a:noFill/>
                    </a:ln>
                  </pic:spPr>
                </pic:pic>
              </a:graphicData>
            </a:graphic>
          </wp:inline>
        </w:drawing>
      </w:r>
      <w:r>
        <w:br w:type="textWrapping"/>
      </w:r>
      <w:r>
        <w:drawing>
          <wp:inline distT="0" distB="0" distL="114300" distR="114300">
            <wp:extent cx="5267325" cy="3162300"/>
            <wp:effectExtent l="0" t="0" r="9525" b="0"/>
            <wp:docPr id="33" name="图片 33" descr="1562145823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562145823875.png"/>
                    <pic:cNvPicPr>
                      <a:picLocks noChangeAspect="1"/>
                    </pic:cNvPicPr>
                  </pic:nvPicPr>
                  <pic:blipFill>
                    <a:blip r:embed="rId24"/>
                    <a:stretch>
                      <a:fillRect/>
                    </a:stretch>
                  </pic:blipFill>
                  <pic:spPr>
                    <a:xfrm>
                      <a:off x="0" y="0"/>
                      <a:ext cx="5267325" cy="3162300"/>
                    </a:xfrm>
                    <a:prstGeom prst="rect">
                      <a:avLst/>
                    </a:prstGeom>
                    <a:noFill/>
                    <a:ln w="9525">
                      <a:noFill/>
                    </a:ln>
                  </pic:spPr>
                </pic:pic>
              </a:graphicData>
            </a:graphic>
          </wp:inline>
        </w:drawing>
      </w:r>
    </w:p>
    <w:p w14:paraId="7EBE9634">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    （2）每包内需附产品检验单一张，检验单样式见《图4检验单》。其中“检验单”、“产品名 称”、“品等”、“生产日期”、“检验人员”和“承制单位名 称”标题为黑体字，其他为宋体字。检验单尺寸为B5纸的1/4。字体大小适宜。</w:t>
      </w:r>
    </w:p>
    <w:p w14:paraId="6D827D9A">
      <w:pPr>
        <w:pStyle w:val="5"/>
        <w:keepNext w:val="0"/>
        <w:keepLines w:val="0"/>
        <w:widowControl/>
        <w:suppressLineNumbers w:val="0"/>
        <w:spacing w:before="0" w:beforeAutospacing="0" w:after="240" w:afterAutospacing="0"/>
        <w:ind w:left="0" w:right="0"/>
        <w:jc w:val="center"/>
      </w:pPr>
      <w:r>
        <w:drawing>
          <wp:inline distT="0" distB="0" distL="114300" distR="114300">
            <wp:extent cx="2647950" cy="3114675"/>
            <wp:effectExtent l="0" t="0" r="0" b="9525"/>
            <wp:docPr id="34" name="图片 34" descr="1562145853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562145853472.png"/>
                    <pic:cNvPicPr>
                      <a:picLocks noChangeAspect="1"/>
                    </pic:cNvPicPr>
                  </pic:nvPicPr>
                  <pic:blipFill>
                    <a:blip r:embed="rId25"/>
                    <a:stretch>
                      <a:fillRect/>
                    </a:stretch>
                  </pic:blipFill>
                  <pic:spPr>
                    <a:xfrm>
                      <a:off x="0" y="0"/>
                      <a:ext cx="2647950" cy="3114675"/>
                    </a:xfrm>
                    <a:prstGeom prst="rect">
                      <a:avLst/>
                    </a:prstGeom>
                    <a:noFill/>
                    <a:ln w="9525">
                      <a:noFill/>
                    </a:ln>
                  </pic:spPr>
                </pic:pic>
              </a:graphicData>
            </a:graphic>
          </wp:inline>
        </w:drawing>
      </w:r>
    </w:p>
    <w:p w14:paraId="66B129A5">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注：合同包1至合同包</w:t>
      </w:r>
      <w:r>
        <w:rPr>
          <w:rStyle w:val="8"/>
          <w:rFonts w:hint="default" w:ascii="Calibri" w:hAnsi="Calibri" w:cs="Calibri"/>
          <w:b/>
          <w:sz w:val="21"/>
          <w:szCs w:val="21"/>
        </w:rPr>
        <w:t>7</w:t>
      </w:r>
      <w:r>
        <w:rPr>
          <w:rStyle w:val="8"/>
          <w:rFonts w:hint="eastAsia" w:ascii="宋体" w:hAnsi="宋体" w:eastAsia="宋体" w:cs="宋体"/>
          <w:b/>
          <w:sz w:val="21"/>
          <w:szCs w:val="21"/>
        </w:rPr>
        <w:t>产品技术参数中的规格尺寸、长度、宽度、厚度、高度等未注明偏离值的，允许±</w:t>
      </w:r>
      <w:r>
        <w:rPr>
          <w:rStyle w:val="8"/>
          <w:rFonts w:hint="default" w:ascii="Calibri" w:hAnsi="Calibri" w:cs="Calibri"/>
          <w:b/>
          <w:sz w:val="21"/>
          <w:szCs w:val="21"/>
        </w:rPr>
        <w:t>2%</w:t>
      </w:r>
      <w:r>
        <w:rPr>
          <w:rStyle w:val="8"/>
          <w:rFonts w:hint="eastAsia" w:ascii="宋体" w:hAnsi="宋体" w:eastAsia="宋体" w:cs="宋体"/>
          <w:b/>
          <w:sz w:val="21"/>
          <w:szCs w:val="21"/>
        </w:rPr>
        <w:t>偏离。</w:t>
      </w:r>
    </w:p>
    <w:p w14:paraId="3A2CCE8F">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38B16F51">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4EEB2AD4">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1B0F8188">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7780334F">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44B7C8E4">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2D7B45A1">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6DB41F66">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0378FF72">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231EBFB4">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6C5B7E2E">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1D842676">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4C3515EA">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16CA4D58">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三、商务条件</w:t>
      </w:r>
      <w:r>
        <w:rPr>
          <w:rStyle w:val="8"/>
          <w:rFonts w:hint="eastAsia" w:ascii="宋体" w:hAnsi="宋体" w:eastAsia="宋体" w:cs="宋体"/>
          <w:b/>
          <w:spacing w:val="0"/>
          <w:sz w:val="24"/>
          <w:szCs w:val="24"/>
        </w:rPr>
        <w:t>（以“★”标示的内容为不允许负偏离的实质性要求）</w:t>
      </w:r>
    </w:p>
    <w:p w14:paraId="467634CF">
      <w:pPr>
        <w:pStyle w:val="5"/>
        <w:keepNext w:val="0"/>
        <w:keepLines w:val="0"/>
        <w:widowControl/>
        <w:suppressLineNumbers w:val="0"/>
        <w:spacing w:before="75" w:beforeAutospacing="0" w:after="75" w:afterAutospacing="0"/>
        <w:ind w:left="0" w:right="0" w:firstLine="0"/>
      </w:pPr>
      <w:r>
        <w:rPr>
          <w:rStyle w:val="8"/>
          <w:rFonts w:hint="eastAsia" w:ascii="宋体" w:hAnsi="宋体" w:eastAsia="宋体" w:cs="宋体"/>
          <w:b/>
          <w:spacing w:val="0"/>
          <w:sz w:val="24"/>
          <w:szCs w:val="24"/>
        </w:rPr>
        <w:t>包：1</w:t>
      </w:r>
      <w:r>
        <w:rPr>
          <w:rStyle w:val="8"/>
          <w:rFonts w:hint="eastAsia" w:ascii="宋体" w:hAnsi="宋体" w:eastAsia="宋体" w:cs="宋体"/>
          <w:b/>
          <w:spacing w:val="0"/>
          <w:sz w:val="24"/>
          <w:szCs w:val="24"/>
        </w:rPr>
        <w:br w:type="textWrapping"/>
      </w:r>
      <w:r>
        <w:rPr>
          <w:rStyle w:val="8"/>
          <w:rFonts w:hint="eastAsia" w:ascii="宋体" w:hAnsi="宋体" w:eastAsia="宋体" w:cs="宋体"/>
          <w:b/>
          <w:spacing w:val="0"/>
          <w:sz w:val="24"/>
          <w:szCs w:val="24"/>
        </w:rPr>
        <w:t>1、交付地点：福建省福州市连江县丹阳镇桂林村省救灾物资储备中心 </w:t>
      </w:r>
      <w:r>
        <w:rPr>
          <w:rStyle w:val="8"/>
          <w:rFonts w:hint="eastAsia" w:ascii="宋体" w:hAnsi="宋体" w:eastAsia="宋体" w:cs="宋体"/>
          <w:b/>
          <w:spacing w:val="0"/>
          <w:sz w:val="24"/>
          <w:szCs w:val="24"/>
        </w:rPr>
        <w:br w:type="textWrapping"/>
      </w:r>
      <w:r>
        <w:rPr>
          <w:rStyle w:val="8"/>
          <w:rFonts w:hint="eastAsia" w:ascii="宋体" w:hAnsi="宋体" w:eastAsia="宋体" w:cs="宋体"/>
          <w:b/>
          <w:spacing w:val="0"/>
          <w:sz w:val="24"/>
          <w:szCs w:val="24"/>
        </w:rPr>
        <w:t>2、交付时间：合同签订后，中标供应商在45个日历日内交货并通过采购人验收</w:t>
      </w:r>
      <w:r>
        <w:rPr>
          <w:rStyle w:val="8"/>
          <w:rFonts w:hint="eastAsia" w:ascii="宋体" w:hAnsi="宋体" w:eastAsia="宋体" w:cs="宋体"/>
          <w:b/>
          <w:spacing w:val="0"/>
          <w:sz w:val="24"/>
          <w:szCs w:val="24"/>
        </w:rPr>
        <w:br w:type="textWrapping"/>
      </w:r>
      <w:r>
        <w:rPr>
          <w:rStyle w:val="8"/>
          <w:rFonts w:hint="eastAsia" w:ascii="宋体" w:hAnsi="宋体" w:eastAsia="宋体" w:cs="宋体"/>
          <w:b/>
          <w:spacing w:val="0"/>
          <w:sz w:val="24"/>
          <w:szCs w:val="24"/>
        </w:rPr>
        <w:t>3、交付条件：通过采购人验收</w:t>
      </w:r>
      <w:r>
        <w:rPr>
          <w:rStyle w:val="8"/>
          <w:rFonts w:hint="eastAsia" w:ascii="宋体" w:hAnsi="宋体" w:eastAsia="宋体" w:cs="宋体"/>
          <w:b/>
          <w:spacing w:val="0"/>
          <w:sz w:val="24"/>
          <w:szCs w:val="24"/>
        </w:rPr>
        <w:br w:type="textWrapping"/>
      </w:r>
      <w:r>
        <w:rPr>
          <w:rStyle w:val="8"/>
          <w:rFonts w:hint="eastAsia" w:ascii="宋体" w:hAnsi="宋体" w:eastAsia="宋体" w:cs="宋体"/>
          <w:b/>
          <w:spacing w:val="0"/>
          <w:sz w:val="24"/>
          <w:szCs w:val="24"/>
        </w:rPr>
        <w:t>4、是否收取履约保证金：否</w:t>
      </w:r>
      <w:r>
        <w:rPr>
          <w:rStyle w:val="8"/>
          <w:rFonts w:hint="eastAsia" w:ascii="宋体" w:hAnsi="宋体" w:eastAsia="宋体" w:cs="宋体"/>
          <w:b/>
          <w:spacing w:val="0"/>
          <w:sz w:val="24"/>
          <w:szCs w:val="24"/>
        </w:rPr>
        <w:br w:type="textWrapping"/>
      </w:r>
      <w:r>
        <w:rPr>
          <w:rStyle w:val="8"/>
          <w:rFonts w:hint="eastAsia" w:ascii="宋体" w:hAnsi="宋体" w:eastAsia="宋体" w:cs="宋体"/>
          <w:b/>
          <w:spacing w:val="0"/>
          <w:sz w:val="24"/>
          <w:szCs w:val="24"/>
        </w:rPr>
        <w:t>5、是否邀请投标人参与验收：否</w:t>
      </w:r>
      <w:r>
        <w:rPr>
          <w:rStyle w:val="8"/>
          <w:rFonts w:hint="eastAsia" w:ascii="宋体" w:hAnsi="宋体" w:eastAsia="宋体" w:cs="宋体"/>
          <w:b/>
          <w:spacing w:val="0"/>
          <w:sz w:val="24"/>
          <w:szCs w:val="24"/>
        </w:rPr>
        <w:br w:type="textWrapping"/>
      </w:r>
      <w:r>
        <w:rPr>
          <w:rStyle w:val="8"/>
          <w:rFonts w:hint="eastAsia" w:ascii="宋体" w:hAnsi="宋体" w:eastAsia="宋体" w:cs="宋体"/>
          <w:b/>
          <w:spacing w:val="0"/>
          <w:sz w:val="24"/>
          <w:szCs w:val="24"/>
        </w:rPr>
        <w:t>6、验收方式数据表格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6658"/>
      </w:tblGrid>
      <w:tr w14:paraId="3DC2608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2D099CB4">
            <w:pPr>
              <w:keepNext w:val="0"/>
              <w:keepLines w:val="0"/>
              <w:widowControl/>
              <w:suppressLineNumbers w:val="0"/>
              <w:jc w:val="center"/>
            </w:pPr>
            <w:r>
              <w:rPr>
                <w:rFonts w:ascii="宋体" w:hAnsi="宋体" w:eastAsia="宋体" w:cs="宋体"/>
                <w:kern w:val="0"/>
                <w:sz w:val="24"/>
                <w:szCs w:val="24"/>
                <w:lang w:val="en-US" w:eastAsia="zh-CN" w:bidi="ar"/>
              </w:rPr>
              <w:t>验收期次</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07730414">
            <w:pPr>
              <w:keepNext w:val="0"/>
              <w:keepLines w:val="0"/>
              <w:widowControl/>
              <w:suppressLineNumbers w:val="0"/>
              <w:jc w:val="center"/>
            </w:pPr>
            <w:r>
              <w:rPr>
                <w:rFonts w:ascii="宋体" w:hAnsi="宋体" w:eastAsia="宋体" w:cs="宋体"/>
                <w:kern w:val="0"/>
                <w:sz w:val="24"/>
                <w:szCs w:val="24"/>
                <w:lang w:val="en-US" w:eastAsia="zh-CN" w:bidi="ar"/>
              </w:rPr>
              <w:t>验收期次说明</w:t>
            </w:r>
          </w:p>
        </w:tc>
      </w:tr>
      <w:tr w14:paraId="43F3AE8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66108CD6">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707D4F42">
            <w:pPr>
              <w:keepNext w:val="0"/>
              <w:keepLines w:val="0"/>
              <w:widowControl/>
              <w:suppressLineNumbers w:val="0"/>
              <w:jc w:val="left"/>
              <w:rPr>
                <w:color w:val="FF0000"/>
                <w:highlight w:val="none"/>
              </w:rPr>
            </w:pPr>
            <w:r>
              <w:rPr>
                <w:rFonts w:ascii="宋体" w:hAnsi="宋体" w:eastAsia="宋体" w:cs="宋体"/>
                <w:color w:val="FF0000"/>
                <w:kern w:val="0"/>
                <w:sz w:val="24"/>
                <w:szCs w:val="24"/>
                <w:highlight w:val="none"/>
                <w:lang w:val="en-US" w:eastAsia="zh-CN" w:bidi="ar"/>
              </w:rPr>
              <w:t>初验收：由中标人和采购人共同对货物的数量、质量、外包装等根据本招标文件的有关规定逐项检验。</w:t>
            </w:r>
          </w:p>
        </w:tc>
      </w:tr>
      <w:tr w14:paraId="674929B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079CD00B">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5B77E277">
            <w:pPr>
              <w:keepNext w:val="0"/>
              <w:keepLines w:val="0"/>
              <w:widowControl/>
              <w:suppressLineNumbers w:val="0"/>
              <w:jc w:val="left"/>
              <w:rPr>
                <w:color w:val="FF0000"/>
                <w:highlight w:val="none"/>
              </w:rPr>
            </w:pPr>
            <w:r>
              <w:rPr>
                <w:rFonts w:ascii="宋体" w:hAnsi="宋体" w:eastAsia="宋体" w:cs="宋体"/>
                <w:color w:val="FF0000"/>
                <w:kern w:val="0"/>
                <w:sz w:val="24"/>
                <w:szCs w:val="24"/>
                <w:highlight w:val="none"/>
                <w:lang w:val="en-US" w:eastAsia="zh-CN" w:bidi="ar"/>
              </w:rPr>
              <w:t>最终验收：由采购人或中标人委托的专业公司以及有关管理部门按招标文件以及合同相关条款要求一同对货物进行联合验收，验收结果应符合采购人使用要求。在此期间，若发现产品质量有问题中标人应无条件免费更换直至验收合格交付使用。</w:t>
            </w:r>
          </w:p>
        </w:tc>
      </w:tr>
    </w:tbl>
    <w:p w14:paraId="7775FD1D">
      <w:pPr>
        <w:keepNext w:val="0"/>
        <w:keepLines w:val="0"/>
        <w:widowControl/>
        <w:suppressLineNumbers w:val="0"/>
        <w:jc w:val="left"/>
      </w:pPr>
      <w:r>
        <w:rPr>
          <w:rStyle w:val="8"/>
          <w:rFonts w:ascii="宋体" w:hAnsi="宋体" w:eastAsia="宋体" w:cs="宋体"/>
          <w:b/>
          <w:kern w:val="0"/>
          <w:sz w:val="24"/>
          <w:szCs w:val="24"/>
          <w:lang w:val="en-US" w:eastAsia="zh-CN" w:bidi="ar"/>
        </w:rPr>
        <w:t>7、支付方式数据表格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1665"/>
        <w:gridCol w:w="4993"/>
      </w:tblGrid>
      <w:tr w14:paraId="74BC298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76A588E8">
            <w:pPr>
              <w:keepNext w:val="0"/>
              <w:keepLines w:val="0"/>
              <w:widowControl/>
              <w:suppressLineNumbers w:val="0"/>
              <w:jc w:val="center"/>
            </w:pPr>
            <w:r>
              <w:rPr>
                <w:rFonts w:ascii="宋体" w:hAnsi="宋体" w:eastAsia="宋体" w:cs="宋体"/>
                <w:kern w:val="0"/>
                <w:sz w:val="24"/>
                <w:szCs w:val="24"/>
                <w:lang w:val="en-US" w:eastAsia="zh-CN" w:bidi="ar"/>
              </w:rPr>
              <w:t>支付期次</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14:paraId="073CF548">
            <w:pPr>
              <w:keepNext w:val="0"/>
              <w:keepLines w:val="0"/>
              <w:widowControl/>
              <w:suppressLineNumbers w:val="0"/>
              <w:jc w:val="center"/>
            </w:pPr>
            <w:r>
              <w:rPr>
                <w:rFonts w:ascii="宋体" w:hAnsi="宋体" w:eastAsia="宋体" w:cs="宋体"/>
                <w:kern w:val="0"/>
                <w:sz w:val="24"/>
                <w:szCs w:val="24"/>
                <w:lang w:val="en-US" w:eastAsia="zh-CN" w:bidi="ar"/>
              </w:rPr>
              <w:t>支付比例(%)</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14:paraId="65CE4436">
            <w:pPr>
              <w:keepNext w:val="0"/>
              <w:keepLines w:val="0"/>
              <w:widowControl/>
              <w:suppressLineNumbers w:val="0"/>
              <w:jc w:val="center"/>
            </w:pPr>
            <w:r>
              <w:rPr>
                <w:rFonts w:ascii="宋体" w:hAnsi="宋体" w:eastAsia="宋体" w:cs="宋体"/>
                <w:kern w:val="0"/>
                <w:sz w:val="24"/>
                <w:szCs w:val="24"/>
                <w:lang w:val="en-US" w:eastAsia="zh-CN" w:bidi="ar"/>
              </w:rPr>
              <w:t>支付期次说明</w:t>
            </w:r>
          </w:p>
        </w:tc>
      </w:tr>
      <w:tr w14:paraId="19B2623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2E68862C">
            <w:pPr>
              <w:keepNext w:val="0"/>
              <w:keepLines w:val="0"/>
              <w:widowControl/>
              <w:suppressLineNumbers w:val="0"/>
              <w:jc w:val="center"/>
            </w:pPr>
            <w:r>
              <w:rPr>
                <w:rFonts w:ascii="宋体" w:hAnsi="宋体" w:eastAsia="宋体" w:cs="宋体"/>
                <w:kern w:val="0"/>
                <w:sz w:val="24"/>
                <w:szCs w:val="24"/>
                <w:lang w:val="en-US" w:eastAsia="zh-CN" w:bidi="ar"/>
              </w:rPr>
              <w:t>1</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14:paraId="2A4AA14B">
            <w:pPr>
              <w:keepNext w:val="0"/>
              <w:keepLines w:val="0"/>
              <w:widowControl/>
              <w:suppressLineNumbers w:val="0"/>
              <w:jc w:val="center"/>
            </w:pPr>
            <w:r>
              <w:rPr>
                <w:rFonts w:ascii="宋体" w:hAnsi="宋体" w:eastAsia="宋体" w:cs="宋体"/>
                <w:kern w:val="0"/>
                <w:sz w:val="24"/>
                <w:szCs w:val="24"/>
                <w:lang w:val="en-US" w:eastAsia="zh-CN" w:bidi="ar"/>
              </w:rPr>
              <w:t>100</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14:paraId="7F588A92">
            <w:pPr>
              <w:keepNext w:val="0"/>
              <w:keepLines w:val="0"/>
              <w:widowControl/>
              <w:suppressLineNumbers w:val="0"/>
              <w:jc w:val="left"/>
            </w:pPr>
            <w:r>
              <w:rPr>
                <w:rFonts w:ascii="宋体" w:hAnsi="宋体" w:eastAsia="宋体" w:cs="宋体"/>
                <w:kern w:val="0"/>
                <w:sz w:val="24"/>
                <w:szCs w:val="24"/>
                <w:lang w:val="en-US" w:eastAsia="zh-CN" w:bidi="ar"/>
              </w:rPr>
              <w:t>验收合格后，中标人持正式发票和采购人所开具的验收合格证明，采购人在七个日历日内支付全部合同款。</w:t>
            </w:r>
          </w:p>
        </w:tc>
      </w:tr>
    </w:tbl>
    <w:p w14:paraId="3F64B2B5">
      <w:pPr>
        <w:keepNext w:val="0"/>
        <w:keepLines w:val="0"/>
        <w:widowControl/>
        <w:suppressLineNumbers w:val="0"/>
        <w:jc w:val="left"/>
      </w:pPr>
      <w:r>
        <w:rPr>
          <w:rStyle w:val="8"/>
          <w:rFonts w:ascii="宋体" w:hAnsi="宋体" w:eastAsia="宋体" w:cs="宋体"/>
          <w:b/>
          <w:kern w:val="0"/>
          <w:sz w:val="24"/>
          <w:szCs w:val="24"/>
          <w:lang w:val="en-US" w:eastAsia="zh-CN" w:bidi="ar"/>
        </w:rPr>
        <w:t>包：2</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1、交付地点：福建省福州市连江县丹阳镇桂林村省救灾物资储备中心 </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2、交付时间：合同签订后，中标供应商在45个日历日内交货并通过采购人验收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3、交付条件：通过采购人验收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4、是否收取履约保证金：否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5、是否邀请投标人参与验收：否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6、验收方式数据表格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6658"/>
      </w:tblGrid>
      <w:tr w14:paraId="685A1A9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27CB7063">
            <w:pPr>
              <w:keepNext w:val="0"/>
              <w:keepLines w:val="0"/>
              <w:widowControl/>
              <w:suppressLineNumbers w:val="0"/>
              <w:jc w:val="center"/>
            </w:pPr>
            <w:r>
              <w:rPr>
                <w:rFonts w:ascii="宋体" w:hAnsi="宋体" w:eastAsia="宋体" w:cs="宋体"/>
                <w:kern w:val="0"/>
                <w:sz w:val="24"/>
                <w:szCs w:val="24"/>
                <w:lang w:val="en-US" w:eastAsia="zh-CN" w:bidi="ar"/>
              </w:rPr>
              <w:t>验收期次</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3344B35D">
            <w:pPr>
              <w:keepNext w:val="0"/>
              <w:keepLines w:val="0"/>
              <w:widowControl/>
              <w:suppressLineNumbers w:val="0"/>
              <w:jc w:val="center"/>
            </w:pPr>
            <w:r>
              <w:rPr>
                <w:rFonts w:ascii="宋体" w:hAnsi="宋体" w:eastAsia="宋体" w:cs="宋体"/>
                <w:kern w:val="0"/>
                <w:sz w:val="24"/>
                <w:szCs w:val="24"/>
                <w:lang w:val="en-US" w:eastAsia="zh-CN" w:bidi="ar"/>
              </w:rPr>
              <w:t>验收期次说明</w:t>
            </w:r>
          </w:p>
        </w:tc>
      </w:tr>
      <w:tr w14:paraId="5829A6F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47028FA5">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083CF77D">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初验收：由中标人和采购人共同对货物的数量、质量、外包装等根据本招标文件的有关规定逐项检验。</w:t>
            </w:r>
          </w:p>
        </w:tc>
      </w:tr>
      <w:tr w14:paraId="176F3F9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35172612">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57C73CA1">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最终验收：由采购人或中标人委托的专业公司以及有关管理部门按招标文件以及合同相关条款要求一同对货物进行联合验收，验收结果应符合采购人使用要求。在此期间，若发现产品质量有问题中标人应无条件免费更换直至验收合格交付使用。</w:t>
            </w:r>
          </w:p>
        </w:tc>
      </w:tr>
    </w:tbl>
    <w:p w14:paraId="49FDAA68">
      <w:pPr>
        <w:keepNext w:val="0"/>
        <w:keepLines w:val="0"/>
        <w:widowControl/>
        <w:suppressLineNumbers w:val="0"/>
        <w:jc w:val="left"/>
      </w:pPr>
      <w:r>
        <w:rPr>
          <w:rStyle w:val="8"/>
          <w:rFonts w:ascii="宋体" w:hAnsi="宋体" w:eastAsia="宋体" w:cs="宋体"/>
          <w:b/>
          <w:kern w:val="0"/>
          <w:sz w:val="24"/>
          <w:szCs w:val="24"/>
          <w:lang w:val="en-US" w:eastAsia="zh-CN" w:bidi="ar"/>
        </w:rPr>
        <w:t>7、支付方式数据表格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1665"/>
        <w:gridCol w:w="4993"/>
      </w:tblGrid>
      <w:tr w14:paraId="1CAC05E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7B3249EB">
            <w:pPr>
              <w:keepNext w:val="0"/>
              <w:keepLines w:val="0"/>
              <w:widowControl/>
              <w:suppressLineNumbers w:val="0"/>
              <w:jc w:val="center"/>
            </w:pPr>
            <w:r>
              <w:rPr>
                <w:rFonts w:ascii="宋体" w:hAnsi="宋体" w:eastAsia="宋体" w:cs="宋体"/>
                <w:kern w:val="0"/>
                <w:sz w:val="24"/>
                <w:szCs w:val="24"/>
                <w:lang w:val="en-US" w:eastAsia="zh-CN" w:bidi="ar"/>
              </w:rPr>
              <w:t>支付期次</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14:paraId="267FA631">
            <w:pPr>
              <w:keepNext w:val="0"/>
              <w:keepLines w:val="0"/>
              <w:widowControl/>
              <w:suppressLineNumbers w:val="0"/>
              <w:jc w:val="center"/>
            </w:pPr>
            <w:r>
              <w:rPr>
                <w:rFonts w:ascii="宋体" w:hAnsi="宋体" w:eastAsia="宋体" w:cs="宋体"/>
                <w:kern w:val="0"/>
                <w:sz w:val="24"/>
                <w:szCs w:val="24"/>
                <w:lang w:val="en-US" w:eastAsia="zh-CN" w:bidi="ar"/>
              </w:rPr>
              <w:t>支付比例(%)</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14:paraId="48F7207C">
            <w:pPr>
              <w:keepNext w:val="0"/>
              <w:keepLines w:val="0"/>
              <w:widowControl/>
              <w:suppressLineNumbers w:val="0"/>
              <w:jc w:val="center"/>
            </w:pPr>
            <w:r>
              <w:rPr>
                <w:rFonts w:ascii="宋体" w:hAnsi="宋体" w:eastAsia="宋体" w:cs="宋体"/>
                <w:kern w:val="0"/>
                <w:sz w:val="24"/>
                <w:szCs w:val="24"/>
                <w:lang w:val="en-US" w:eastAsia="zh-CN" w:bidi="ar"/>
              </w:rPr>
              <w:t>支付期次说明</w:t>
            </w:r>
          </w:p>
        </w:tc>
      </w:tr>
      <w:tr w14:paraId="1B6476A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161C60C6">
            <w:pPr>
              <w:keepNext w:val="0"/>
              <w:keepLines w:val="0"/>
              <w:widowControl/>
              <w:suppressLineNumbers w:val="0"/>
              <w:jc w:val="center"/>
            </w:pPr>
            <w:r>
              <w:rPr>
                <w:rFonts w:ascii="宋体" w:hAnsi="宋体" w:eastAsia="宋体" w:cs="宋体"/>
                <w:kern w:val="0"/>
                <w:sz w:val="24"/>
                <w:szCs w:val="24"/>
                <w:lang w:val="en-US" w:eastAsia="zh-CN" w:bidi="ar"/>
              </w:rPr>
              <w:t>1</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14:paraId="59CA2596">
            <w:pPr>
              <w:keepNext w:val="0"/>
              <w:keepLines w:val="0"/>
              <w:widowControl/>
              <w:suppressLineNumbers w:val="0"/>
              <w:jc w:val="center"/>
            </w:pPr>
            <w:r>
              <w:rPr>
                <w:rFonts w:ascii="宋体" w:hAnsi="宋体" w:eastAsia="宋体" w:cs="宋体"/>
                <w:kern w:val="0"/>
                <w:sz w:val="24"/>
                <w:szCs w:val="24"/>
                <w:lang w:val="en-US" w:eastAsia="zh-CN" w:bidi="ar"/>
              </w:rPr>
              <w:t>100</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14:paraId="46A8D2A4">
            <w:pPr>
              <w:keepNext w:val="0"/>
              <w:keepLines w:val="0"/>
              <w:widowControl/>
              <w:suppressLineNumbers w:val="0"/>
              <w:jc w:val="left"/>
            </w:pPr>
            <w:r>
              <w:rPr>
                <w:rFonts w:ascii="宋体" w:hAnsi="宋体" w:eastAsia="宋体" w:cs="宋体"/>
                <w:kern w:val="0"/>
                <w:sz w:val="24"/>
                <w:szCs w:val="24"/>
                <w:lang w:val="en-US" w:eastAsia="zh-CN" w:bidi="ar"/>
              </w:rPr>
              <w:t>验收合格后，中标人持正式发票和采购人所开具的验收合格证明，采购人在七个日历日内支付全部合同款。</w:t>
            </w:r>
          </w:p>
        </w:tc>
      </w:tr>
    </w:tbl>
    <w:p w14:paraId="6BEE5F85">
      <w:pPr>
        <w:keepNext w:val="0"/>
        <w:keepLines w:val="0"/>
        <w:widowControl/>
        <w:suppressLineNumbers w:val="0"/>
        <w:jc w:val="left"/>
        <w:rPr>
          <w:rStyle w:val="8"/>
          <w:rFonts w:ascii="宋体" w:hAnsi="宋体" w:eastAsia="宋体" w:cs="宋体"/>
          <w:b/>
          <w:kern w:val="0"/>
          <w:sz w:val="24"/>
          <w:szCs w:val="24"/>
          <w:lang w:val="en-US" w:eastAsia="zh-CN" w:bidi="ar"/>
        </w:rPr>
      </w:pPr>
    </w:p>
    <w:p w14:paraId="1D8AE577">
      <w:pPr>
        <w:keepNext w:val="0"/>
        <w:keepLines w:val="0"/>
        <w:widowControl/>
        <w:suppressLineNumbers w:val="0"/>
        <w:jc w:val="left"/>
      </w:pPr>
      <w:r>
        <w:rPr>
          <w:rStyle w:val="8"/>
          <w:rFonts w:ascii="宋体" w:hAnsi="宋体" w:eastAsia="宋体" w:cs="宋体"/>
          <w:b/>
          <w:kern w:val="0"/>
          <w:sz w:val="24"/>
          <w:szCs w:val="24"/>
          <w:lang w:val="en-US" w:eastAsia="zh-CN" w:bidi="ar"/>
        </w:rPr>
        <w:t>包：3</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1、交付地点：福建省福州市连江县丹阳镇桂林村省救灾物资储备中心 </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2、交付时间：合同签订后，中标供应商在45个日历日内交货并通过采购人验收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3、交付条件：通过采购人验收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4、是否收取履约保证金：否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5、是否邀请投标人参与验收：否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6、验收方式数据表格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6658"/>
      </w:tblGrid>
      <w:tr w14:paraId="576A47D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1297B0EA">
            <w:pPr>
              <w:keepNext w:val="0"/>
              <w:keepLines w:val="0"/>
              <w:widowControl/>
              <w:suppressLineNumbers w:val="0"/>
              <w:jc w:val="left"/>
            </w:pPr>
            <w:r>
              <w:rPr>
                <w:rFonts w:ascii="宋体" w:hAnsi="宋体" w:eastAsia="宋体" w:cs="宋体"/>
                <w:kern w:val="0"/>
                <w:sz w:val="24"/>
                <w:szCs w:val="24"/>
                <w:lang w:val="en-US" w:eastAsia="zh-CN" w:bidi="ar"/>
              </w:rPr>
              <w:t>验收期次</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23A28BD2">
            <w:pPr>
              <w:keepNext w:val="0"/>
              <w:keepLines w:val="0"/>
              <w:widowControl/>
              <w:suppressLineNumbers w:val="0"/>
              <w:jc w:val="left"/>
            </w:pPr>
            <w:r>
              <w:rPr>
                <w:rFonts w:ascii="宋体" w:hAnsi="宋体" w:eastAsia="宋体" w:cs="宋体"/>
                <w:kern w:val="0"/>
                <w:sz w:val="24"/>
                <w:szCs w:val="24"/>
                <w:lang w:val="en-US" w:eastAsia="zh-CN" w:bidi="ar"/>
              </w:rPr>
              <w:t>验收期次说明</w:t>
            </w:r>
          </w:p>
        </w:tc>
      </w:tr>
      <w:tr w14:paraId="24BA185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1F6F0E03">
            <w:pPr>
              <w:keepNext w:val="0"/>
              <w:keepLines w:val="0"/>
              <w:widowControl/>
              <w:suppressLineNumbers w:val="0"/>
              <w:jc w:val="left"/>
            </w:pPr>
            <w:r>
              <w:rPr>
                <w:rFonts w:ascii="宋体" w:hAnsi="宋体" w:eastAsia="宋体" w:cs="宋体"/>
                <w:kern w:val="0"/>
                <w:sz w:val="24"/>
                <w:szCs w:val="24"/>
                <w:lang w:val="en-US" w:eastAsia="zh-CN" w:bidi="ar"/>
              </w:rPr>
              <w:t>1</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4254EC86">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初验收：由中标人和采购人共同对货物的数量、质量、外包装等根据本招标文件的有关规定逐项检验。</w:t>
            </w:r>
          </w:p>
        </w:tc>
      </w:tr>
      <w:tr w14:paraId="0E30B75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7A306D10">
            <w:pPr>
              <w:keepNext w:val="0"/>
              <w:keepLines w:val="0"/>
              <w:widowControl/>
              <w:suppressLineNumbers w:val="0"/>
              <w:jc w:val="left"/>
            </w:pPr>
            <w:r>
              <w:rPr>
                <w:rFonts w:ascii="宋体" w:hAnsi="宋体" w:eastAsia="宋体" w:cs="宋体"/>
                <w:kern w:val="0"/>
                <w:sz w:val="24"/>
                <w:szCs w:val="24"/>
                <w:lang w:val="en-US" w:eastAsia="zh-CN" w:bidi="ar"/>
              </w:rPr>
              <w:t>2</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28E140AC">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最终验收：由采购人或中标人委托的专业公司以及有关管理部门按招标文件以及合同相关条款要求一同对货物进行联合验收，验收结果应符合采购人使用要求。在此期间，若发现产品质量有问题中标人应无条件免费更换直至验收合格交付使用。</w:t>
            </w:r>
          </w:p>
        </w:tc>
      </w:tr>
    </w:tbl>
    <w:p w14:paraId="61F45941">
      <w:pPr>
        <w:keepNext w:val="0"/>
        <w:keepLines w:val="0"/>
        <w:widowControl/>
        <w:suppressLineNumbers w:val="0"/>
        <w:jc w:val="left"/>
      </w:pPr>
      <w:r>
        <w:rPr>
          <w:rStyle w:val="8"/>
          <w:rFonts w:ascii="宋体" w:hAnsi="宋体" w:eastAsia="宋体" w:cs="宋体"/>
          <w:b/>
          <w:kern w:val="0"/>
          <w:sz w:val="24"/>
          <w:szCs w:val="24"/>
          <w:lang w:val="en-US" w:eastAsia="zh-CN" w:bidi="ar"/>
        </w:rPr>
        <w:t>7、支付方式数据表格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1665"/>
        <w:gridCol w:w="4993"/>
      </w:tblGrid>
      <w:tr w14:paraId="5DABC87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67549849">
            <w:pPr>
              <w:keepNext w:val="0"/>
              <w:keepLines w:val="0"/>
              <w:widowControl/>
              <w:suppressLineNumbers w:val="0"/>
              <w:jc w:val="left"/>
            </w:pPr>
            <w:r>
              <w:rPr>
                <w:rFonts w:ascii="宋体" w:hAnsi="宋体" w:eastAsia="宋体" w:cs="宋体"/>
                <w:kern w:val="0"/>
                <w:sz w:val="24"/>
                <w:szCs w:val="24"/>
                <w:lang w:val="en-US" w:eastAsia="zh-CN" w:bidi="ar"/>
              </w:rPr>
              <w:t>支付期次</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14:paraId="348E68F9">
            <w:pPr>
              <w:keepNext w:val="0"/>
              <w:keepLines w:val="0"/>
              <w:widowControl/>
              <w:suppressLineNumbers w:val="0"/>
              <w:jc w:val="left"/>
            </w:pPr>
            <w:r>
              <w:rPr>
                <w:rFonts w:ascii="宋体" w:hAnsi="宋体" w:eastAsia="宋体" w:cs="宋体"/>
                <w:kern w:val="0"/>
                <w:sz w:val="24"/>
                <w:szCs w:val="24"/>
                <w:lang w:val="en-US" w:eastAsia="zh-CN" w:bidi="ar"/>
              </w:rPr>
              <w:t>支付比例(%)</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14:paraId="5E4DF60A">
            <w:pPr>
              <w:keepNext w:val="0"/>
              <w:keepLines w:val="0"/>
              <w:widowControl/>
              <w:suppressLineNumbers w:val="0"/>
              <w:jc w:val="left"/>
            </w:pPr>
            <w:r>
              <w:rPr>
                <w:rFonts w:ascii="宋体" w:hAnsi="宋体" w:eastAsia="宋体" w:cs="宋体"/>
                <w:kern w:val="0"/>
                <w:sz w:val="24"/>
                <w:szCs w:val="24"/>
                <w:lang w:val="en-US" w:eastAsia="zh-CN" w:bidi="ar"/>
              </w:rPr>
              <w:t>支付期次说明</w:t>
            </w:r>
          </w:p>
        </w:tc>
      </w:tr>
      <w:tr w14:paraId="7A7812B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1170612E">
            <w:pPr>
              <w:keepNext w:val="0"/>
              <w:keepLines w:val="0"/>
              <w:widowControl/>
              <w:suppressLineNumbers w:val="0"/>
              <w:jc w:val="left"/>
            </w:pPr>
            <w:r>
              <w:rPr>
                <w:rFonts w:ascii="宋体" w:hAnsi="宋体" w:eastAsia="宋体" w:cs="宋体"/>
                <w:kern w:val="0"/>
                <w:sz w:val="24"/>
                <w:szCs w:val="24"/>
                <w:lang w:val="en-US" w:eastAsia="zh-CN" w:bidi="ar"/>
              </w:rPr>
              <w:t>1</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14:paraId="7CFC7297">
            <w:pPr>
              <w:keepNext w:val="0"/>
              <w:keepLines w:val="0"/>
              <w:widowControl/>
              <w:suppressLineNumbers w:val="0"/>
              <w:jc w:val="left"/>
            </w:pPr>
            <w:r>
              <w:rPr>
                <w:rFonts w:ascii="宋体" w:hAnsi="宋体" w:eastAsia="宋体" w:cs="宋体"/>
                <w:kern w:val="0"/>
                <w:sz w:val="24"/>
                <w:szCs w:val="24"/>
                <w:lang w:val="en-US" w:eastAsia="zh-CN" w:bidi="ar"/>
              </w:rPr>
              <w:t>100</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14:paraId="5116BCDB">
            <w:pPr>
              <w:keepNext w:val="0"/>
              <w:keepLines w:val="0"/>
              <w:widowControl/>
              <w:suppressLineNumbers w:val="0"/>
              <w:jc w:val="left"/>
            </w:pPr>
            <w:r>
              <w:rPr>
                <w:rFonts w:ascii="宋体" w:hAnsi="宋体" w:eastAsia="宋体" w:cs="宋体"/>
                <w:kern w:val="0"/>
                <w:sz w:val="24"/>
                <w:szCs w:val="24"/>
                <w:lang w:val="en-US" w:eastAsia="zh-CN" w:bidi="ar"/>
              </w:rPr>
              <w:t>验收合格后，中标人持正式发票和采购人所开具的验收合格证明，采购人在七个日历日内支付全部合同款。</w:t>
            </w:r>
          </w:p>
        </w:tc>
      </w:tr>
    </w:tbl>
    <w:p w14:paraId="66265644">
      <w:pPr>
        <w:keepNext w:val="0"/>
        <w:keepLines w:val="0"/>
        <w:widowControl/>
        <w:suppressLineNumbers w:val="0"/>
        <w:jc w:val="left"/>
      </w:pPr>
      <w:r>
        <w:rPr>
          <w:rStyle w:val="8"/>
          <w:rFonts w:ascii="宋体" w:hAnsi="宋体" w:eastAsia="宋体" w:cs="宋体"/>
          <w:b/>
          <w:kern w:val="0"/>
          <w:sz w:val="24"/>
          <w:szCs w:val="24"/>
          <w:lang w:val="en-US" w:eastAsia="zh-CN" w:bidi="ar"/>
        </w:rPr>
        <w:t>包：4</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1、交付地点：福建省福州市连江县丹阳镇桂林村省救灾物资储备中心 </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2、交付时间：合同签订后，中标供应商在45个日历日内交货并通过采购人验收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3、交付条件：通过采购人验收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4、是否收取履约保证金：否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5、是否邀请投标人参与验收：否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6、验收方式数据表格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6658"/>
      </w:tblGrid>
      <w:tr w14:paraId="4BC0B68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4B80F722">
            <w:pPr>
              <w:keepNext w:val="0"/>
              <w:keepLines w:val="0"/>
              <w:widowControl/>
              <w:suppressLineNumbers w:val="0"/>
              <w:jc w:val="left"/>
            </w:pPr>
            <w:r>
              <w:rPr>
                <w:rFonts w:ascii="宋体" w:hAnsi="宋体" w:eastAsia="宋体" w:cs="宋体"/>
                <w:kern w:val="0"/>
                <w:sz w:val="24"/>
                <w:szCs w:val="24"/>
                <w:lang w:val="en-US" w:eastAsia="zh-CN" w:bidi="ar"/>
              </w:rPr>
              <w:t>验收期次</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6272C173">
            <w:pPr>
              <w:keepNext w:val="0"/>
              <w:keepLines w:val="0"/>
              <w:widowControl/>
              <w:suppressLineNumbers w:val="0"/>
              <w:jc w:val="left"/>
            </w:pPr>
            <w:r>
              <w:rPr>
                <w:rFonts w:ascii="宋体" w:hAnsi="宋体" w:eastAsia="宋体" w:cs="宋体"/>
                <w:kern w:val="0"/>
                <w:sz w:val="24"/>
                <w:szCs w:val="24"/>
                <w:lang w:val="en-US" w:eastAsia="zh-CN" w:bidi="ar"/>
              </w:rPr>
              <w:t>验收期次说明</w:t>
            </w:r>
          </w:p>
        </w:tc>
      </w:tr>
      <w:tr w14:paraId="5C60DC9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2D1AC1C0">
            <w:pPr>
              <w:keepNext w:val="0"/>
              <w:keepLines w:val="0"/>
              <w:widowControl/>
              <w:suppressLineNumbers w:val="0"/>
              <w:jc w:val="left"/>
            </w:pPr>
            <w:r>
              <w:rPr>
                <w:rFonts w:ascii="宋体" w:hAnsi="宋体" w:eastAsia="宋体" w:cs="宋体"/>
                <w:kern w:val="0"/>
                <w:sz w:val="24"/>
                <w:szCs w:val="24"/>
                <w:lang w:val="en-US" w:eastAsia="zh-CN" w:bidi="ar"/>
              </w:rPr>
              <w:t>1</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421D5C12">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初验收：由中标人和采购人共同对货物的数量、质量、外包装等根据本招标文件的有关规定逐项检验。</w:t>
            </w:r>
          </w:p>
        </w:tc>
      </w:tr>
      <w:tr w14:paraId="0E0134A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6BB47BB8">
            <w:pPr>
              <w:keepNext w:val="0"/>
              <w:keepLines w:val="0"/>
              <w:widowControl/>
              <w:suppressLineNumbers w:val="0"/>
              <w:jc w:val="left"/>
            </w:pPr>
            <w:r>
              <w:rPr>
                <w:rFonts w:ascii="宋体" w:hAnsi="宋体" w:eastAsia="宋体" w:cs="宋体"/>
                <w:kern w:val="0"/>
                <w:sz w:val="24"/>
                <w:szCs w:val="24"/>
                <w:lang w:val="en-US" w:eastAsia="zh-CN" w:bidi="ar"/>
              </w:rPr>
              <w:t>2</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1A2A5719">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最终验收：由采购人或中标人委托的专业公司以及有关管理部门按招标文件以及合同相关条款要求一同对货物进行联合验收，验收结果应符合采购人使用要求。在此期间，若发现产品质量有问题中标人应无条件免费更换直至验收合格交付使用。</w:t>
            </w:r>
          </w:p>
        </w:tc>
      </w:tr>
    </w:tbl>
    <w:p w14:paraId="4626A6AF">
      <w:pPr>
        <w:keepNext w:val="0"/>
        <w:keepLines w:val="0"/>
        <w:widowControl/>
        <w:suppressLineNumbers w:val="0"/>
        <w:jc w:val="left"/>
      </w:pPr>
      <w:r>
        <w:rPr>
          <w:rStyle w:val="8"/>
          <w:rFonts w:ascii="宋体" w:hAnsi="宋体" w:eastAsia="宋体" w:cs="宋体"/>
          <w:b/>
          <w:kern w:val="0"/>
          <w:sz w:val="24"/>
          <w:szCs w:val="24"/>
          <w:lang w:val="en-US" w:eastAsia="zh-CN" w:bidi="ar"/>
        </w:rPr>
        <w:t>7、支付方式数据表格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1665"/>
        <w:gridCol w:w="4993"/>
      </w:tblGrid>
      <w:tr w14:paraId="5CD7D7F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065EA9C3">
            <w:pPr>
              <w:keepNext w:val="0"/>
              <w:keepLines w:val="0"/>
              <w:widowControl/>
              <w:suppressLineNumbers w:val="0"/>
              <w:jc w:val="left"/>
            </w:pPr>
            <w:r>
              <w:rPr>
                <w:rFonts w:ascii="宋体" w:hAnsi="宋体" w:eastAsia="宋体" w:cs="宋体"/>
                <w:kern w:val="0"/>
                <w:sz w:val="24"/>
                <w:szCs w:val="24"/>
                <w:lang w:val="en-US" w:eastAsia="zh-CN" w:bidi="ar"/>
              </w:rPr>
              <w:t>支付期次</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14:paraId="1B378A9C">
            <w:pPr>
              <w:keepNext w:val="0"/>
              <w:keepLines w:val="0"/>
              <w:widowControl/>
              <w:suppressLineNumbers w:val="0"/>
              <w:jc w:val="left"/>
            </w:pPr>
            <w:r>
              <w:rPr>
                <w:rFonts w:ascii="宋体" w:hAnsi="宋体" w:eastAsia="宋体" w:cs="宋体"/>
                <w:kern w:val="0"/>
                <w:sz w:val="24"/>
                <w:szCs w:val="24"/>
                <w:lang w:val="en-US" w:eastAsia="zh-CN" w:bidi="ar"/>
              </w:rPr>
              <w:t>支付比例(%)</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14:paraId="47A0CCD8">
            <w:pPr>
              <w:keepNext w:val="0"/>
              <w:keepLines w:val="0"/>
              <w:widowControl/>
              <w:suppressLineNumbers w:val="0"/>
              <w:jc w:val="left"/>
            </w:pPr>
            <w:r>
              <w:rPr>
                <w:rFonts w:ascii="宋体" w:hAnsi="宋体" w:eastAsia="宋体" w:cs="宋体"/>
                <w:kern w:val="0"/>
                <w:sz w:val="24"/>
                <w:szCs w:val="24"/>
                <w:lang w:val="en-US" w:eastAsia="zh-CN" w:bidi="ar"/>
              </w:rPr>
              <w:t>支付期次说明</w:t>
            </w:r>
          </w:p>
        </w:tc>
      </w:tr>
      <w:tr w14:paraId="0C39A23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2D756A22">
            <w:pPr>
              <w:keepNext w:val="0"/>
              <w:keepLines w:val="0"/>
              <w:widowControl/>
              <w:suppressLineNumbers w:val="0"/>
              <w:jc w:val="left"/>
            </w:pPr>
            <w:r>
              <w:rPr>
                <w:rFonts w:ascii="宋体" w:hAnsi="宋体" w:eastAsia="宋体" w:cs="宋体"/>
                <w:kern w:val="0"/>
                <w:sz w:val="24"/>
                <w:szCs w:val="24"/>
                <w:lang w:val="en-US" w:eastAsia="zh-CN" w:bidi="ar"/>
              </w:rPr>
              <w:t>1</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14:paraId="416B8FB6">
            <w:pPr>
              <w:keepNext w:val="0"/>
              <w:keepLines w:val="0"/>
              <w:widowControl/>
              <w:suppressLineNumbers w:val="0"/>
              <w:jc w:val="left"/>
            </w:pPr>
            <w:r>
              <w:rPr>
                <w:rFonts w:ascii="宋体" w:hAnsi="宋体" w:eastAsia="宋体" w:cs="宋体"/>
                <w:kern w:val="0"/>
                <w:sz w:val="24"/>
                <w:szCs w:val="24"/>
                <w:lang w:val="en-US" w:eastAsia="zh-CN" w:bidi="ar"/>
              </w:rPr>
              <w:t>100</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14:paraId="13E81400">
            <w:pPr>
              <w:keepNext w:val="0"/>
              <w:keepLines w:val="0"/>
              <w:widowControl/>
              <w:suppressLineNumbers w:val="0"/>
              <w:jc w:val="left"/>
            </w:pPr>
            <w:r>
              <w:rPr>
                <w:rFonts w:ascii="宋体" w:hAnsi="宋体" w:eastAsia="宋体" w:cs="宋体"/>
                <w:kern w:val="0"/>
                <w:sz w:val="24"/>
                <w:szCs w:val="24"/>
                <w:lang w:val="en-US" w:eastAsia="zh-CN" w:bidi="ar"/>
              </w:rPr>
              <w:t>验收合格后，中标人持正式发票和采购人所开具的验收合格证明，采购人在七个日历日内支付全部合同款。</w:t>
            </w:r>
          </w:p>
        </w:tc>
      </w:tr>
    </w:tbl>
    <w:p w14:paraId="3510C687">
      <w:pPr>
        <w:keepNext w:val="0"/>
        <w:keepLines w:val="0"/>
        <w:widowControl/>
        <w:suppressLineNumbers w:val="0"/>
        <w:jc w:val="left"/>
        <w:rPr>
          <w:rStyle w:val="8"/>
          <w:rFonts w:ascii="宋体" w:hAnsi="宋体" w:eastAsia="宋体" w:cs="宋体"/>
          <w:b/>
          <w:kern w:val="0"/>
          <w:sz w:val="24"/>
          <w:szCs w:val="24"/>
          <w:lang w:val="en-US" w:eastAsia="zh-CN" w:bidi="ar"/>
        </w:rPr>
      </w:pPr>
    </w:p>
    <w:p w14:paraId="125C0120">
      <w:pPr>
        <w:keepNext w:val="0"/>
        <w:keepLines w:val="0"/>
        <w:widowControl/>
        <w:suppressLineNumbers w:val="0"/>
        <w:jc w:val="left"/>
        <w:rPr>
          <w:rStyle w:val="8"/>
          <w:rFonts w:ascii="宋体" w:hAnsi="宋体" w:eastAsia="宋体" w:cs="宋体"/>
          <w:b/>
          <w:kern w:val="0"/>
          <w:sz w:val="24"/>
          <w:szCs w:val="24"/>
          <w:lang w:val="en-US" w:eastAsia="zh-CN" w:bidi="ar"/>
        </w:rPr>
      </w:pPr>
    </w:p>
    <w:p w14:paraId="16B7444D">
      <w:pPr>
        <w:keepNext w:val="0"/>
        <w:keepLines w:val="0"/>
        <w:widowControl/>
        <w:suppressLineNumbers w:val="0"/>
        <w:jc w:val="left"/>
        <w:rPr>
          <w:rStyle w:val="8"/>
          <w:rFonts w:ascii="宋体" w:hAnsi="宋体" w:eastAsia="宋体" w:cs="宋体"/>
          <w:b/>
          <w:kern w:val="0"/>
          <w:sz w:val="24"/>
          <w:szCs w:val="24"/>
          <w:lang w:val="en-US" w:eastAsia="zh-CN" w:bidi="ar"/>
        </w:rPr>
      </w:pPr>
    </w:p>
    <w:p w14:paraId="1CC68CD5">
      <w:pPr>
        <w:keepNext w:val="0"/>
        <w:keepLines w:val="0"/>
        <w:widowControl/>
        <w:suppressLineNumbers w:val="0"/>
        <w:jc w:val="left"/>
      </w:pPr>
      <w:r>
        <w:rPr>
          <w:rStyle w:val="8"/>
          <w:rFonts w:ascii="宋体" w:hAnsi="宋体" w:eastAsia="宋体" w:cs="宋体"/>
          <w:b/>
          <w:kern w:val="0"/>
          <w:sz w:val="24"/>
          <w:szCs w:val="24"/>
          <w:lang w:val="en-US" w:eastAsia="zh-CN" w:bidi="ar"/>
        </w:rPr>
        <w:t>包：5</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1、交付地点：福建省福州市连江县丹阳镇桂林村省救灾物资储备中心 </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2、交付时间：合同签订后，中标供应商在45个日历日内交货并通过采购人验收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3、交付条件：通过采购人验收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4、是否收取履约保证金：否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5、是否邀请投标人参与验收：否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6、验收方式数据表格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6658"/>
      </w:tblGrid>
      <w:tr w14:paraId="1291ED1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2FCCAD77">
            <w:pPr>
              <w:keepNext w:val="0"/>
              <w:keepLines w:val="0"/>
              <w:widowControl/>
              <w:suppressLineNumbers w:val="0"/>
              <w:jc w:val="left"/>
            </w:pPr>
            <w:r>
              <w:rPr>
                <w:rFonts w:ascii="宋体" w:hAnsi="宋体" w:eastAsia="宋体" w:cs="宋体"/>
                <w:kern w:val="0"/>
                <w:sz w:val="24"/>
                <w:szCs w:val="24"/>
                <w:lang w:val="en-US" w:eastAsia="zh-CN" w:bidi="ar"/>
              </w:rPr>
              <w:t>验收期次</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64D49A74">
            <w:pPr>
              <w:keepNext w:val="0"/>
              <w:keepLines w:val="0"/>
              <w:widowControl/>
              <w:suppressLineNumbers w:val="0"/>
              <w:jc w:val="left"/>
            </w:pPr>
            <w:r>
              <w:rPr>
                <w:rFonts w:ascii="宋体" w:hAnsi="宋体" w:eastAsia="宋体" w:cs="宋体"/>
                <w:kern w:val="0"/>
                <w:sz w:val="24"/>
                <w:szCs w:val="24"/>
                <w:lang w:val="en-US" w:eastAsia="zh-CN" w:bidi="ar"/>
              </w:rPr>
              <w:t>验收期次说明</w:t>
            </w:r>
          </w:p>
        </w:tc>
      </w:tr>
      <w:tr w14:paraId="16B8406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20D40430">
            <w:pPr>
              <w:keepNext w:val="0"/>
              <w:keepLines w:val="0"/>
              <w:widowControl/>
              <w:suppressLineNumbers w:val="0"/>
              <w:jc w:val="left"/>
            </w:pPr>
            <w:r>
              <w:rPr>
                <w:rFonts w:ascii="宋体" w:hAnsi="宋体" w:eastAsia="宋体" w:cs="宋体"/>
                <w:kern w:val="0"/>
                <w:sz w:val="24"/>
                <w:szCs w:val="24"/>
                <w:lang w:val="en-US" w:eastAsia="zh-CN" w:bidi="ar"/>
              </w:rPr>
              <w:t>1</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2DFE0795">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初验收：由中标人和采购人共同对货物的数量、质量、外包装等根据本招标文件的有关规定逐项检验。</w:t>
            </w:r>
          </w:p>
        </w:tc>
      </w:tr>
      <w:tr w14:paraId="56F385F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3D2E3FEA">
            <w:pPr>
              <w:keepNext w:val="0"/>
              <w:keepLines w:val="0"/>
              <w:widowControl/>
              <w:suppressLineNumbers w:val="0"/>
              <w:jc w:val="left"/>
            </w:pPr>
            <w:r>
              <w:rPr>
                <w:rFonts w:ascii="宋体" w:hAnsi="宋体" w:eastAsia="宋体" w:cs="宋体"/>
                <w:kern w:val="0"/>
                <w:sz w:val="24"/>
                <w:szCs w:val="24"/>
                <w:lang w:val="en-US" w:eastAsia="zh-CN" w:bidi="ar"/>
              </w:rPr>
              <w:t>2</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58A34D48">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最终验收：由采购人或中标人委托的专业公司以及有关管理部门按招标文件以及合同相关条款要求一同对货物进行联合验收，验收结果应符合采购人使用要求。在此期间，若发现产品质量有问题中标人应无条件免费更换直至验收合格交付使用。</w:t>
            </w:r>
          </w:p>
        </w:tc>
      </w:tr>
    </w:tbl>
    <w:p w14:paraId="2A80B9BE">
      <w:pPr>
        <w:keepNext w:val="0"/>
        <w:keepLines w:val="0"/>
        <w:widowControl/>
        <w:suppressLineNumbers w:val="0"/>
        <w:jc w:val="left"/>
      </w:pPr>
      <w:r>
        <w:rPr>
          <w:rStyle w:val="8"/>
          <w:rFonts w:ascii="宋体" w:hAnsi="宋体" w:eastAsia="宋体" w:cs="宋体"/>
          <w:b/>
          <w:kern w:val="0"/>
          <w:sz w:val="24"/>
          <w:szCs w:val="24"/>
          <w:lang w:val="en-US" w:eastAsia="zh-CN" w:bidi="ar"/>
        </w:rPr>
        <w:t>7、支付方式数据表格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1665"/>
        <w:gridCol w:w="4993"/>
      </w:tblGrid>
      <w:tr w14:paraId="702DAB1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1F1BD834">
            <w:pPr>
              <w:keepNext w:val="0"/>
              <w:keepLines w:val="0"/>
              <w:widowControl/>
              <w:suppressLineNumbers w:val="0"/>
              <w:jc w:val="left"/>
            </w:pPr>
            <w:r>
              <w:rPr>
                <w:rFonts w:ascii="宋体" w:hAnsi="宋体" w:eastAsia="宋体" w:cs="宋体"/>
                <w:kern w:val="0"/>
                <w:sz w:val="24"/>
                <w:szCs w:val="24"/>
                <w:lang w:val="en-US" w:eastAsia="zh-CN" w:bidi="ar"/>
              </w:rPr>
              <w:t>支付期次</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14:paraId="5A833AD5">
            <w:pPr>
              <w:keepNext w:val="0"/>
              <w:keepLines w:val="0"/>
              <w:widowControl/>
              <w:suppressLineNumbers w:val="0"/>
              <w:jc w:val="left"/>
            </w:pPr>
            <w:r>
              <w:rPr>
                <w:rFonts w:ascii="宋体" w:hAnsi="宋体" w:eastAsia="宋体" w:cs="宋体"/>
                <w:kern w:val="0"/>
                <w:sz w:val="24"/>
                <w:szCs w:val="24"/>
                <w:lang w:val="en-US" w:eastAsia="zh-CN" w:bidi="ar"/>
              </w:rPr>
              <w:t>支付比例(%)</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14:paraId="12E7938D">
            <w:pPr>
              <w:keepNext w:val="0"/>
              <w:keepLines w:val="0"/>
              <w:widowControl/>
              <w:suppressLineNumbers w:val="0"/>
              <w:jc w:val="left"/>
            </w:pPr>
            <w:r>
              <w:rPr>
                <w:rFonts w:ascii="宋体" w:hAnsi="宋体" w:eastAsia="宋体" w:cs="宋体"/>
                <w:kern w:val="0"/>
                <w:sz w:val="24"/>
                <w:szCs w:val="24"/>
                <w:lang w:val="en-US" w:eastAsia="zh-CN" w:bidi="ar"/>
              </w:rPr>
              <w:t>支付期次说明</w:t>
            </w:r>
          </w:p>
        </w:tc>
      </w:tr>
      <w:tr w14:paraId="2071AC1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7F9762C7">
            <w:pPr>
              <w:keepNext w:val="0"/>
              <w:keepLines w:val="0"/>
              <w:widowControl/>
              <w:suppressLineNumbers w:val="0"/>
              <w:jc w:val="left"/>
            </w:pPr>
            <w:r>
              <w:rPr>
                <w:rFonts w:ascii="宋体" w:hAnsi="宋体" w:eastAsia="宋体" w:cs="宋体"/>
                <w:kern w:val="0"/>
                <w:sz w:val="24"/>
                <w:szCs w:val="24"/>
                <w:lang w:val="en-US" w:eastAsia="zh-CN" w:bidi="ar"/>
              </w:rPr>
              <w:t>1</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14:paraId="309EC2FB">
            <w:pPr>
              <w:keepNext w:val="0"/>
              <w:keepLines w:val="0"/>
              <w:widowControl/>
              <w:suppressLineNumbers w:val="0"/>
              <w:jc w:val="left"/>
            </w:pPr>
            <w:r>
              <w:rPr>
                <w:rFonts w:ascii="宋体" w:hAnsi="宋体" w:eastAsia="宋体" w:cs="宋体"/>
                <w:kern w:val="0"/>
                <w:sz w:val="24"/>
                <w:szCs w:val="24"/>
                <w:lang w:val="en-US" w:eastAsia="zh-CN" w:bidi="ar"/>
              </w:rPr>
              <w:t>100</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14:paraId="63A276F8">
            <w:pPr>
              <w:keepNext w:val="0"/>
              <w:keepLines w:val="0"/>
              <w:widowControl/>
              <w:suppressLineNumbers w:val="0"/>
              <w:jc w:val="left"/>
            </w:pPr>
            <w:r>
              <w:rPr>
                <w:rFonts w:ascii="宋体" w:hAnsi="宋体" w:eastAsia="宋体" w:cs="宋体"/>
                <w:kern w:val="0"/>
                <w:sz w:val="24"/>
                <w:szCs w:val="24"/>
                <w:lang w:val="en-US" w:eastAsia="zh-CN" w:bidi="ar"/>
              </w:rPr>
              <w:t>验收合格后，中标人持正式发票和采购人所开具的验收合格证明，采购人在七个日历日内支付全部合同款。</w:t>
            </w:r>
          </w:p>
        </w:tc>
      </w:tr>
    </w:tbl>
    <w:p w14:paraId="11025F8F">
      <w:pPr>
        <w:keepNext w:val="0"/>
        <w:keepLines w:val="0"/>
        <w:widowControl/>
        <w:suppressLineNumbers w:val="0"/>
        <w:jc w:val="left"/>
      </w:pPr>
      <w:r>
        <w:rPr>
          <w:rStyle w:val="8"/>
          <w:rFonts w:ascii="宋体" w:hAnsi="宋体" w:eastAsia="宋体" w:cs="宋体"/>
          <w:b/>
          <w:kern w:val="0"/>
          <w:sz w:val="24"/>
          <w:szCs w:val="24"/>
          <w:lang w:val="en-US" w:eastAsia="zh-CN" w:bidi="ar"/>
        </w:rPr>
        <w:t>包：6</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1、交付地点：福建省福州市连江县丹阳镇桂林村省救灾物资储备中心 </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2、交付时间：合同签订后，中标供应商在45个日历日内交货并通过采购人验收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3、交付条件：通过采购人验收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4、是否收取履约保证金：否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5、是否邀请投标人参与验收：否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6、验收方式数据表格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6658"/>
      </w:tblGrid>
      <w:tr w14:paraId="205DA5F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544A5BD4">
            <w:pPr>
              <w:keepNext w:val="0"/>
              <w:keepLines w:val="0"/>
              <w:widowControl/>
              <w:suppressLineNumbers w:val="0"/>
              <w:jc w:val="left"/>
            </w:pPr>
            <w:r>
              <w:rPr>
                <w:rFonts w:ascii="宋体" w:hAnsi="宋体" w:eastAsia="宋体" w:cs="宋体"/>
                <w:kern w:val="0"/>
                <w:sz w:val="24"/>
                <w:szCs w:val="24"/>
                <w:lang w:val="en-US" w:eastAsia="zh-CN" w:bidi="ar"/>
              </w:rPr>
              <w:t>验收期次</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669812AE">
            <w:pPr>
              <w:keepNext w:val="0"/>
              <w:keepLines w:val="0"/>
              <w:widowControl/>
              <w:suppressLineNumbers w:val="0"/>
              <w:jc w:val="left"/>
            </w:pPr>
            <w:r>
              <w:rPr>
                <w:rFonts w:ascii="宋体" w:hAnsi="宋体" w:eastAsia="宋体" w:cs="宋体"/>
                <w:kern w:val="0"/>
                <w:sz w:val="24"/>
                <w:szCs w:val="24"/>
                <w:lang w:val="en-US" w:eastAsia="zh-CN" w:bidi="ar"/>
              </w:rPr>
              <w:t>验收期次说明</w:t>
            </w:r>
          </w:p>
        </w:tc>
      </w:tr>
      <w:tr w14:paraId="6422891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2FF1725A">
            <w:pPr>
              <w:keepNext w:val="0"/>
              <w:keepLines w:val="0"/>
              <w:widowControl/>
              <w:suppressLineNumbers w:val="0"/>
              <w:jc w:val="left"/>
            </w:pPr>
            <w:r>
              <w:rPr>
                <w:rFonts w:ascii="宋体" w:hAnsi="宋体" w:eastAsia="宋体" w:cs="宋体"/>
                <w:kern w:val="0"/>
                <w:sz w:val="24"/>
                <w:szCs w:val="24"/>
                <w:lang w:val="en-US" w:eastAsia="zh-CN" w:bidi="ar"/>
              </w:rPr>
              <w:t>1</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61826E58">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初验收：由中标人和采购人共同对货物的数量、质量、外包装等根据本招标文件的有关规定逐项检验。</w:t>
            </w:r>
          </w:p>
        </w:tc>
      </w:tr>
      <w:tr w14:paraId="1DFC91D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5BB7A0D0">
            <w:pPr>
              <w:keepNext w:val="0"/>
              <w:keepLines w:val="0"/>
              <w:widowControl/>
              <w:suppressLineNumbers w:val="0"/>
              <w:jc w:val="left"/>
            </w:pPr>
            <w:r>
              <w:rPr>
                <w:rFonts w:ascii="宋体" w:hAnsi="宋体" w:eastAsia="宋体" w:cs="宋体"/>
                <w:kern w:val="0"/>
                <w:sz w:val="24"/>
                <w:szCs w:val="24"/>
                <w:lang w:val="en-US" w:eastAsia="zh-CN" w:bidi="ar"/>
              </w:rPr>
              <w:t>2</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103A974A">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最终验收：由采购人或中标人委托的专业公司以及有关管理部门按招标文件以及合同相关条款要求一同对货物进行联合验收，验收结果应符合采购人使用要求。在此期间，若发现产品质量有问题中标人应无条件免费更换直至验收合格交付使用。</w:t>
            </w:r>
          </w:p>
        </w:tc>
      </w:tr>
    </w:tbl>
    <w:p w14:paraId="6F660898">
      <w:pPr>
        <w:keepNext w:val="0"/>
        <w:keepLines w:val="0"/>
        <w:widowControl/>
        <w:suppressLineNumbers w:val="0"/>
        <w:jc w:val="left"/>
      </w:pPr>
      <w:r>
        <w:rPr>
          <w:rStyle w:val="8"/>
          <w:rFonts w:ascii="宋体" w:hAnsi="宋体" w:eastAsia="宋体" w:cs="宋体"/>
          <w:b/>
          <w:kern w:val="0"/>
          <w:sz w:val="24"/>
          <w:szCs w:val="24"/>
          <w:lang w:val="en-US" w:eastAsia="zh-CN" w:bidi="ar"/>
        </w:rPr>
        <w:t>7、支付方式数据表格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1665"/>
        <w:gridCol w:w="4993"/>
      </w:tblGrid>
      <w:tr w14:paraId="6A43C1F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62612B03">
            <w:pPr>
              <w:keepNext w:val="0"/>
              <w:keepLines w:val="0"/>
              <w:widowControl/>
              <w:suppressLineNumbers w:val="0"/>
              <w:jc w:val="left"/>
            </w:pPr>
            <w:r>
              <w:rPr>
                <w:rFonts w:ascii="宋体" w:hAnsi="宋体" w:eastAsia="宋体" w:cs="宋体"/>
                <w:kern w:val="0"/>
                <w:sz w:val="24"/>
                <w:szCs w:val="24"/>
                <w:lang w:val="en-US" w:eastAsia="zh-CN" w:bidi="ar"/>
              </w:rPr>
              <w:t>支付期次</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14:paraId="58C8E11C">
            <w:pPr>
              <w:keepNext w:val="0"/>
              <w:keepLines w:val="0"/>
              <w:widowControl/>
              <w:suppressLineNumbers w:val="0"/>
              <w:jc w:val="left"/>
            </w:pPr>
            <w:r>
              <w:rPr>
                <w:rFonts w:ascii="宋体" w:hAnsi="宋体" w:eastAsia="宋体" w:cs="宋体"/>
                <w:kern w:val="0"/>
                <w:sz w:val="24"/>
                <w:szCs w:val="24"/>
                <w:lang w:val="en-US" w:eastAsia="zh-CN" w:bidi="ar"/>
              </w:rPr>
              <w:t>支付比例(%)</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14:paraId="2AB9EBB8">
            <w:pPr>
              <w:keepNext w:val="0"/>
              <w:keepLines w:val="0"/>
              <w:widowControl/>
              <w:suppressLineNumbers w:val="0"/>
              <w:jc w:val="left"/>
            </w:pPr>
            <w:r>
              <w:rPr>
                <w:rFonts w:ascii="宋体" w:hAnsi="宋体" w:eastAsia="宋体" w:cs="宋体"/>
                <w:kern w:val="0"/>
                <w:sz w:val="24"/>
                <w:szCs w:val="24"/>
                <w:lang w:val="en-US" w:eastAsia="zh-CN" w:bidi="ar"/>
              </w:rPr>
              <w:t>支付期次说明</w:t>
            </w:r>
          </w:p>
        </w:tc>
      </w:tr>
      <w:tr w14:paraId="094F0DD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6B3CD5C5">
            <w:pPr>
              <w:keepNext w:val="0"/>
              <w:keepLines w:val="0"/>
              <w:widowControl/>
              <w:suppressLineNumbers w:val="0"/>
              <w:jc w:val="left"/>
            </w:pPr>
            <w:r>
              <w:rPr>
                <w:rFonts w:ascii="宋体" w:hAnsi="宋体" w:eastAsia="宋体" w:cs="宋体"/>
                <w:kern w:val="0"/>
                <w:sz w:val="24"/>
                <w:szCs w:val="24"/>
                <w:lang w:val="en-US" w:eastAsia="zh-CN" w:bidi="ar"/>
              </w:rPr>
              <w:t>1</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14:paraId="60FC39B9">
            <w:pPr>
              <w:keepNext w:val="0"/>
              <w:keepLines w:val="0"/>
              <w:widowControl/>
              <w:suppressLineNumbers w:val="0"/>
              <w:jc w:val="left"/>
            </w:pPr>
            <w:r>
              <w:rPr>
                <w:rFonts w:ascii="宋体" w:hAnsi="宋体" w:eastAsia="宋体" w:cs="宋体"/>
                <w:kern w:val="0"/>
                <w:sz w:val="24"/>
                <w:szCs w:val="24"/>
                <w:lang w:val="en-US" w:eastAsia="zh-CN" w:bidi="ar"/>
              </w:rPr>
              <w:t>100</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14:paraId="3CEA85A4">
            <w:pPr>
              <w:keepNext w:val="0"/>
              <w:keepLines w:val="0"/>
              <w:widowControl/>
              <w:suppressLineNumbers w:val="0"/>
              <w:jc w:val="left"/>
            </w:pPr>
            <w:r>
              <w:rPr>
                <w:rFonts w:ascii="宋体" w:hAnsi="宋体" w:eastAsia="宋体" w:cs="宋体"/>
                <w:kern w:val="0"/>
                <w:sz w:val="24"/>
                <w:szCs w:val="24"/>
                <w:lang w:val="en-US" w:eastAsia="zh-CN" w:bidi="ar"/>
              </w:rPr>
              <w:t>验收合格后，中标人持正式发票和采购人所开具的验收合格证明，采购人在七个日历日内支付全部合同款。</w:t>
            </w:r>
          </w:p>
        </w:tc>
      </w:tr>
    </w:tbl>
    <w:p w14:paraId="30E53762">
      <w:pPr>
        <w:keepNext w:val="0"/>
        <w:keepLines w:val="0"/>
        <w:widowControl/>
        <w:suppressLineNumbers w:val="0"/>
        <w:jc w:val="left"/>
        <w:rPr>
          <w:rStyle w:val="8"/>
          <w:rFonts w:ascii="宋体" w:hAnsi="宋体" w:eastAsia="宋体" w:cs="宋体"/>
          <w:b/>
          <w:kern w:val="0"/>
          <w:sz w:val="24"/>
          <w:szCs w:val="24"/>
          <w:lang w:val="en-US" w:eastAsia="zh-CN" w:bidi="ar"/>
        </w:rPr>
      </w:pPr>
    </w:p>
    <w:p w14:paraId="1B4A57E8">
      <w:pPr>
        <w:keepNext w:val="0"/>
        <w:keepLines w:val="0"/>
        <w:widowControl/>
        <w:suppressLineNumbers w:val="0"/>
        <w:jc w:val="left"/>
        <w:rPr>
          <w:rStyle w:val="8"/>
          <w:rFonts w:ascii="宋体" w:hAnsi="宋体" w:eastAsia="宋体" w:cs="宋体"/>
          <w:b/>
          <w:kern w:val="0"/>
          <w:sz w:val="24"/>
          <w:szCs w:val="24"/>
          <w:lang w:val="en-US" w:eastAsia="zh-CN" w:bidi="ar"/>
        </w:rPr>
      </w:pPr>
    </w:p>
    <w:p w14:paraId="56FC6942">
      <w:pPr>
        <w:keepNext w:val="0"/>
        <w:keepLines w:val="0"/>
        <w:widowControl/>
        <w:suppressLineNumbers w:val="0"/>
        <w:jc w:val="left"/>
        <w:rPr>
          <w:rStyle w:val="8"/>
          <w:rFonts w:ascii="宋体" w:hAnsi="宋体" w:eastAsia="宋体" w:cs="宋体"/>
          <w:b/>
          <w:kern w:val="0"/>
          <w:sz w:val="24"/>
          <w:szCs w:val="24"/>
          <w:lang w:val="en-US" w:eastAsia="zh-CN" w:bidi="ar"/>
        </w:rPr>
      </w:pPr>
    </w:p>
    <w:p w14:paraId="21FAE79F">
      <w:pPr>
        <w:keepNext w:val="0"/>
        <w:keepLines w:val="0"/>
        <w:widowControl/>
        <w:suppressLineNumbers w:val="0"/>
        <w:jc w:val="left"/>
      </w:pPr>
      <w:r>
        <w:rPr>
          <w:rStyle w:val="8"/>
          <w:rFonts w:ascii="宋体" w:hAnsi="宋体" w:eastAsia="宋体" w:cs="宋体"/>
          <w:b/>
          <w:kern w:val="0"/>
          <w:sz w:val="24"/>
          <w:szCs w:val="24"/>
          <w:lang w:val="en-US" w:eastAsia="zh-CN" w:bidi="ar"/>
        </w:rPr>
        <w:t>包：7</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1、交付地点：福建省福州市连江县丹阳镇桂林村省救灾物资储备中心 </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2、交付时间：合同签订后，中标供应商在45个日历日内交货并通过采购人验收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3、交付条件：通过采购人验收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4、是否收取履约保证金：否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5、是否邀请投标人参与验收：否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6、验收方式数据表格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6658"/>
      </w:tblGrid>
      <w:tr w14:paraId="5898D26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22E47944">
            <w:pPr>
              <w:keepNext w:val="0"/>
              <w:keepLines w:val="0"/>
              <w:widowControl/>
              <w:suppressLineNumbers w:val="0"/>
              <w:jc w:val="left"/>
            </w:pPr>
            <w:r>
              <w:rPr>
                <w:rFonts w:ascii="宋体" w:hAnsi="宋体" w:eastAsia="宋体" w:cs="宋体"/>
                <w:kern w:val="0"/>
                <w:sz w:val="24"/>
                <w:szCs w:val="24"/>
                <w:lang w:val="en-US" w:eastAsia="zh-CN" w:bidi="ar"/>
              </w:rPr>
              <w:t>验收期次</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513265D1">
            <w:pPr>
              <w:keepNext w:val="0"/>
              <w:keepLines w:val="0"/>
              <w:widowControl/>
              <w:suppressLineNumbers w:val="0"/>
              <w:jc w:val="left"/>
            </w:pPr>
            <w:r>
              <w:rPr>
                <w:rFonts w:ascii="宋体" w:hAnsi="宋体" w:eastAsia="宋体" w:cs="宋体"/>
                <w:kern w:val="0"/>
                <w:sz w:val="24"/>
                <w:szCs w:val="24"/>
                <w:lang w:val="en-US" w:eastAsia="zh-CN" w:bidi="ar"/>
              </w:rPr>
              <w:t>验收期次说明</w:t>
            </w:r>
          </w:p>
        </w:tc>
      </w:tr>
      <w:tr w14:paraId="0104087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247536D8">
            <w:pPr>
              <w:keepNext w:val="0"/>
              <w:keepLines w:val="0"/>
              <w:widowControl/>
              <w:suppressLineNumbers w:val="0"/>
              <w:jc w:val="left"/>
            </w:pPr>
            <w:r>
              <w:rPr>
                <w:rFonts w:ascii="宋体" w:hAnsi="宋体" w:eastAsia="宋体" w:cs="宋体"/>
                <w:kern w:val="0"/>
                <w:sz w:val="24"/>
                <w:szCs w:val="24"/>
                <w:lang w:val="en-US" w:eastAsia="zh-CN" w:bidi="ar"/>
              </w:rPr>
              <w:t>1</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183F0193">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初验收：由中标人和采购人共同对货物的数量、质量、外包装等根据本招标文件的有关规定逐项检验。</w:t>
            </w:r>
          </w:p>
        </w:tc>
      </w:tr>
      <w:tr w14:paraId="7392AF2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4BB6F088">
            <w:pPr>
              <w:keepNext w:val="0"/>
              <w:keepLines w:val="0"/>
              <w:widowControl/>
              <w:suppressLineNumbers w:val="0"/>
              <w:jc w:val="left"/>
            </w:pPr>
            <w:r>
              <w:rPr>
                <w:rFonts w:ascii="宋体" w:hAnsi="宋体" w:eastAsia="宋体" w:cs="宋体"/>
                <w:kern w:val="0"/>
                <w:sz w:val="24"/>
                <w:szCs w:val="24"/>
                <w:lang w:val="en-US" w:eastAsia="zh-CN" w:bidi="ar"/>
              </w:rPr>
              <w:t>2</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3EF23C85">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最终验收：由采购人或中标人委托的专业公司以及有关管理部门按招标文件以及合同相关条款要求一同对货物进行联合验收，验收结果应符合采购人使用要求。在此期间，若发现产品质量有问题中标人应无条件免费更换直至验收合格交付使用。</w:t>
            </w:r>
          </w:p>
        </w:tc>
      </w:tr>
    </w:tbl>
    <w:p w14:paraId="3B5F3AA5">
      <w:pPr>
        <w:keepNext w:val="0"/>
        <w:keepLines w:val="0"/>
        <w:widowControl/>
        <w:suppressLineNumbers w:val="0"/>
        <w:jc w:val="left"/>
      </w:pPr>
      <w:r>
        <w:rPr>
          <w:rStyle w:val="8"/>
          <w:rFonts w:ascii="宋体" w:hAnsi="宋体" w:eastAsia="宋体" w:cs="宋体"/>
          <w:b/>
          <w:kern w:val="0"/>
          <w:sz w:val="24"/>
          <w:szCs w:val="24"/>
          <w:lang w:val="en-US" w:eastAsia="zh-CN" w:bidi="ar"/>
        </w:rPr>
        <w:t>7、支付方式数据表格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1665"/>
        <w:gridCol w:w="4993"/>
      </w:tblGrid>
      <w:tr w14:paraId="2CF24A5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1B873B88">
            <w:pPr>
              <w:keepNext w:val="0"/>
              <w:keepLines w:val="0"/>
              <w:widowControl/>
              <w:suppressLineNumbers w:val="0"/>
              <w:jc w:val="left"/>
            </w:pPr>
            <w:r>
              <w:rPr>
                <w:rFonts w:ascii="宋体" w:hAnsi="宋体" w:eastAsia="宋体" w:cs="宋体"/>
                <w:kern w:val="0"/>
                <w:sz w:val="24"/>
                <w:szCs w:val="24"/>
                <w:lang w:val="en-US" w:eastAsia="zh-CN" w:bidi="ar"/>
              </w:rPr>
              <w:t>支付期次</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14:paraId="359D133C">
            <w:pPr>
              <w:keepNext w:val="0"/>
              <w:keepLines w:val="0"/>
              <w:widowControl/>
              <w:suppressLineNumbers w:val="0"/>
              <w:jc w:val="left"/>
            </w:pPr>
            <w:r>
              <w:rPr>
                <w:rFonts w:ascii="宋体" w:hAnsi="宋体" w:eastAsia="宋体" w:cs="宋体"/>
                <w:kern w:val="0"/>
                <w:sz w:val="24"/>
                <w:szCs w:val="24"/>
                <w:lang w:val="en-US" w:eastAsia="zh-CN" w:bidi="ar"/>
              </w:rPr>
              <w:t>支付比例(%)</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14:paraId="0320C2F2">
            <w:pPr>
              <w:keepNext w:val="0"/>
              <w:keepLines w:val="0"/>
              <w:widowControl/>
              <w:suppressLineNumbers w:val="0"/>
              <w:jc w:val="left"/>
            </w:pPr>
            <w:r>
              <w:rPr>
                <w:rFonts w:ascii="宋体" w:hAnsi="宋体" w:eastAsia="宋体" w:cs="宋体"/>
                <w:kern w:val="0"/>
                <w:sz w:val="24"/>
                <w:szCs w:val="24"/>
                <w:lang w:val="en-US" w:eastAsia="zh-CN" w:bidi="ar"/>
              </w:rPr>
              <w:t>支付期次说明</w:t>
            </w:r>
          </w:p>
        </w:tc>
      </w:tr>
      <w:tr w14:paraId="6B90DFB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779BE292">
            <w:pPr>
              <w:keepNext w:val="0"/>
              <w:keepLines w:val="0"/>
              <w:widowControl/>
              <w:suppressLineNumbers w:val="0"/>
              <w:jc w:val="left"/>
            </w:pPr>
            <w:r>
              <w:rPr>
                <w:rFonts w:ascii="宋体" w:hAnsi="宋体" w:eastAsia="宋体" w:cs="宋体"/>
                <w:kern w:val="0"/>
                <w:sz w:val="24"/>
                <w:szCs w:val="24"/>
                <w:lang w:val="en-US" w:eastAsia="zh-CN" w:bidi="ar"/>
              </w:rPr>
              <w:t>1</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14:paraId="58E2B1AE">
            <w:pPr>
              <w:keepNext w:val="0"/>
              <w:keepLines w:val="0"/>
              <w:widowControl/>
              <w:suppressLineNumbers w:val="0"/>
              <w:jc w:val="left"/>
            </w:pPr>
            <w:r>
              <w:rPr>
                <w:rFonts w:ascii="宋体" w:hAnsi="宋体" w:eastAsia="宋体" w:cs="宋体"/>
                <w:kern w:val="0"/>
                <w:sz w:val="24"/>
                <w:szCs w:val="24"/>
                <w:lang w:val="en-US" w:eastAsia="zh-CN" w:bidi="ar"/>
              </w:rPr>
              <w:t>100</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14:paraId="38AF64EF">
            <w:pPr>
              <w:keepNext w:val="0"/>
              <w:keepLines w:val="0"/>
              <w:widowControl/>
              <w:suppressLineNumbers w:val="0"/>
              <w:jc w:val="left"/>
            </w:pPr>
            <w:r>
              <w:rPr>
                <w:rFonts w:ascii="宋体" w:hAnsi="宋体" w:eastAsia="宋体" w:cs="宋体"/>
                <w:kern w:val="0"/>
                <w:sz w:val="24"/>
                <w:szCs w:val="24"/>
                <w:lang w:val="en-US" w:eastAsia="zh-CN" w:bidi="ar"/>
              </w:rPr>
              <w:t>验收合格后，中标人持正式发票和采购人所开具的验收合格证明，采购人在七个日历日内支付全部合同款。</w:t>
            </w:r>
          </w:p>
        </w:tc>
      </w:tr>
    </w:tbl>
    <w:p w14:paraId="6EC5563C">
      <w:pPr>
        <w:pStyle w:val="5"/>
        <w:keepNext w:val="0"/>
        <w:keepLines w:val="0"/>
        <w:widowControl/>
        <w:suppressLineNumbers w:val="0"/>
        <w:spacing w:before="0" w:beforeAutospacing="0" w:after="150" w:afterAutospacing="0"/>
        <w:ind w:right="0"/>
      </w:pPr>
      <w:r>
        <w:rPr>
          <w:rFonts w:hint="eastAsia" w:ascii="宋体" w:hAnsi="宋体" w:eastAsia="宋体" w:cs="宋体"/>
          <w:spacing w:val="0"/>
          <w:sz w:val="24"/>
          <w:szCs w:val="24"/>
        </w:rPr>
        <w:t>8、各合同包投标人单价及总价均不得超过最高限价，否则视为无效投标。</w:t>
      </w:r>
    </w:p>
    <w:p w14:paraId="69AAECE8">
      <w:pPr>
        <w:pStyle w:val="5"/>
        <w:keepNext w:val="0"/>
        <w:keepLines w:val="0"/>
        <w:widowControl/>
        <w:suppressLineNumbers w:val="0"/>
        <w:spacing w:before="0" w:beforeAutospacing="0" w:after="150" w:afterAutospacing="0"/>
        <w:ind w:left="0" w:right="0"/>
      </w:pPr>
    </w:p>
    <w:p w14:paraId="75491B3C">
      <w:pPr>
        <w:pStyle w:val="5"/>
        <w:keepNext w:val="0"/>
        <w:keepLines w:val="0"/>
        <w:widowControl/>
        <w:suppressLineNumbers w:val="0"/>
        <w:shd w:val="clear" w:fill="FFFFFF"/>
        <w:spacing w:before="0" w:beforeAutospacing="0" w:after="150" w:afterAutospacing="0" w:line="405" w:lineRule="atLeast"/>
        <w:ind w:left="0" w:right="0"/>
        <w:rPr>
          <w:color w:val="FF0000"/>
        </w:rPr>
      </w:pPr>
      <w:r>
        <w:rPr>
          <w:rFonts w:hint="eastAsia" w:ascii="宋体" w:hAnsi="宋体" w:eastAsia="宋体" w:cs="宋体"/>
          <w:color w:val="FF0000"/>
          <w:spacing w:val="0"/>
          <w:sz w:val="24"/>
          <w:szCs w:val="24"/>
          <w:shd w:val="clear" w:fill="FFFFFF"/>
        </w:rPr>
        <w:t>9、售后要求（适用于合同包一、二、三、四、五、六、七）</w:t>
      </w:r>
    </w:p>
    <w:p w14:paraId="333DAFE0">
      <w:pPr>
        <w:pStyle w:val="5"/>
        <w:keepNext w:val="0"/>
        <w:keepLines w:val="0"/>
        <w:widowControl/>
        <w:suppressLineNumbers w:val="0"/>
        <w:shd w:val="clear" w:fill="FFFFFF"/>
        <w:spacing w:before="0" w:beforeAutospacing="0" w:after="150" w:afterAutospacing="0" w:line="405" w:lineRule="atLeast"/>
        <w:ind w:left="0" w:right="0" w:firstLine="480" w:firstLineChars="200"/>
        <w:rPr>
          <w:rFonts w:hint="eastAsia" w:ascii="宋体" w:hAnsi="宋体" w:eastAsia="宋体" w:cs="宋体"/>
          <w:color w:val="FF0000"/>
          <w:spacing w:val="0"/>
          <w:sz w:val="24"/>
          <w:szCs w:val="24"/>
          <w:shd w:val="clear" w:fill="FFFFFF"/>
        </w:rPr>
      </w:pPr>
      <w:r>
        <w:rPr>
          <w:rFonts w:hint="eastAsia" w:ascii="宋体" w:hAnsi="宋体" w:eastAsia="宋体" w:cs="宋体"/>
          <w:color w:val="FF0000"/>
          <w:spacing w:val="0"/>
          <w:sz w:val="24"/>
          <w:szCs w:val="24"/>
          <w:shd w:val="clear" w:fill="FFFFFF"/>
        </w:rPr>
        <w:t>9.1中标人应对此次采购产品承诺自验收合格后提供2年免费质保期，免费质保期自验收签名之日起计算。</w:t>
      </w:r>
    </w:p>
    <w:p w14:paraId="7B977500">
      <w:pPr>
        <w:pStyle w:val="5"/>
        <w:keepNext w:val="0"/>
        <w:keepLines w:val="0"/>
        <w:widowControl/>
        <w:suppressLineNumbers w:val="0"/>
        <w:shd w:val="clear" w:fill="FFFFFF"/>
        <w:spacing w:before="0" w:beforeAutospacing="0" w:after="150" w:afterAutospacing="0" w:line="405" w:lineRule="atLeast"/>
        <w:ind w:left="0" w:right="0" w:firstLine="480" w:firstLineChars="200"/>
        <w:rPr>
          <w:rFonts w:hint="eastAsia" w:ascii="宋体" w:hAnsi="宋体" w:eastAsia="宋体" w:cs="宋体"/>
          <w:spacing w:val="0"/>
          <w:sz w:val="24"/>
          <w:szCs w:val="24"/>
          <w:shd w:val="clear" w:fill="FFFFFF"/>
        </w:rPr>
      </w:pPr>
      <w:r>
        <w:rPr>
          <w:rFonts w:hint="eastAsia" w:ascii="宋体" w:hAnsi="宋体" w:eastAsia="宋体" w:cs="宋体"/>
          <w:color w:val="FF0000"/>
          <w:spacing w:val="0"/>
          <w:sz w:val="24"/>
          <w:szCs w:val="24"/>
          <w:shd w:val="clear" w:fill="FFFFFF"/>
        </w:rPr>
        <w:t>9.2质量保修期内若产品在使用中出现质量问题，中标人在接到采购人通知后应在7个日历日内无条件进行更换。投标人视自身能力在投标文件中提供更优、更合理的维修服务承诺</w:t>
      </w:r>
      <w:r>
        <w:rPr>
          <w:rFonts w:hint="eastAsia" w:ascii="宋体" w:hAnsi="宋体" w:eastAsia="宋体" w:cs="宋体"/>
          <w:spacing w:val="0"/>
          <w:sz w:val="24"/>
          <w:szCs w:val="24"/>
          <w:shd w:val="clear" w:fill="FFFFFF"/>
        </w:rPr>
        <w:t>。</w:t>
      </w:r>
    </w:p>
    <w:p w14:paraId="74B37BB8">
      <w:pPr>
        <w:pStyle w:val="5"/>
        <w:keepNext w:val="0"/>
        <w:keepLines w:val="0"/>
        <w:widowControl/>
        <w:suppressLineNumbers w:val="0"/>
        <w:spacing w:before="0" w:beforeAutospacing="0" w:after="150" w:afterAutospacing="0"/>
        <w:ind w:left="0" w:right="0"/>
      </w:pPr>
    </w:p>
    <w:p w14:paraId="5ED6D46F">
      <w:pPr>
        <w:keepNext w:val="0"/>
        <w:keepLines w:val="0"/>
        <w:widowControl/>
        <w:suppressLineNumbers w:val="0"/>
        <w:jc w:val="left"/>
      </w:pPr>
      <w:r>
        <w:rPr>
          <w:rFonts w:ascii="宋体" w:hAnsi="宋体" w:eastAsia="宋体" w:cs="宋体"/>
          <w:spacing w:val="0"/>
          <w:kern w:val="0"/>
          <w:sz w:val="24"/>
          <w:szCs w:val="24"/>
          <w:lang w:val="en-US" w:eastAsia="zh-CN" w:bidi="ar"/>
        </w:rPr>
        <w:t> </w:t>
      </w:r>
    </w:p>
    <w:p w14:paraId="42BEC84E">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533F8030">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09B99CF8">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1728E25A">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12AB838F">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2B8DAA63">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73C467A9">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5F9A0BC5">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四、其他事项</w:t>
      </w:r>
    </w:p>
    <w:p w14:paraId="62E17582">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1、除招标文件另有规定外，若出现有关法律、法规和规章有强制性规定但招标文件未列明的情形，则投标人应按照有关法律、法规和规章强制性规定执行。</w:t>
      </w:r>
    </w:p>
    <w:p w14:paraId="4C15E680">
      <w:pPr>
        <w:pStyle w:val="5"/>
        <w:keepNext w:val="0"/>
        <w:keepLines w:val="0"/>
        <w:widowControl/>
        <w:suppressLineNumbers w:val="0"/>
        <w:spacing w:before="75" w:beforeAutospacing="0" w:after="75" w:afterAutospacing="0"/>
        <w:ind w:left="0" w:right="0" w:firstLine="0"/>
      </w:pPr>
      <w:r>
        <w:rPr>
          <w:spacing w:val="0"/>
          <w:sz w:val="24"/>
          <w:szCs w:val="24"/>
        </w:rPr>
        <w:t>2、其他：</w:t>
      </w:r>
    </w:p>
    <w:p w14:paraId="31B57CDD">
      <w:pPr>
        <w:pStyle w:val="5"/>
        <w:keepNext w:val="0"/>
        <w:keepLines w:val="0"/>
        <w:widowControl/>
        <w:suppressLineNumbers w:val="0"/>
        <w:spacing w:before="0" w:beforeAutospacing="0" w:after="150" w:afterAutospacing="0" w:line="405" w:lineRule="atLeast"/>
        <w:ind w:left="0" w:right="0" w:firstLine="405"/>
      </w:pPr>
      <w:r>
        <w:rPr>
          <w:rStyle w:val="8"/>
          <w:rFonts w:ascii="新宋体" w:hAnsi="新宋体" w:eastAsia="新宋体" w:cs="新宋体"/>
          <w:b/>
          <w:spacing w:val="0"/>
          <w:sz w:val="21"/>
          <w:szCs w:val="21"/>
        </w:rPr>
        <w:t>（</w:t>
      </w:r>
      <w:r>
        <w:rPr>
          <w:rStyle w:val="8"/>
          <w:rFonts w:hint="eastAsia" w:ascii="新宋体" w:hAnsi="新宋体" w:eastAsia="新宋体" w:cs="新宋体"/>
          <w:b/>
          <w:spacing w:val="0"/>
          <w:sz w:val="21"/>
          <w:szCs w:val="21"/>
        </w:rPr>
        <w:t>1）投标人须保证采购人在使用该货物或其任何一部分时不受到第三方关于侵犯专 利权、商 标权或工业设 计权等知识产权的指控。如果任何第三方提出侵权指控与采购人无关，投标人须与第三方交涉并承担可能发生的责任与一切费用。如采购人因此而遭致损失的，投标人应赔偿该损失。</w:t>
      </w:r>
    </w:p>
    <w:p w14:paraId="040B824F">
      <w:pPr>
        <w:pStyle w:val="5"/>
        <w:keepNext w:val="0"/>
        <w:keepLines w:val="0"/>
        <w:widowControl/>
        <w:suppressLineNumbers w:val="0"/>
        <w:spacing w:before="0" w:beforeAutospacing="0" w:after="150" w:afterAutospacing="0" w:line="405" w:lineRule="atLeast"/>
        <w:ind w:left="0" w:right="0" w:firstLine="405"/>
      </w:pPr>
      <w:r>
        <w:rPr>
          <w:rStyle w:val="8"/>
          <w:rFonts w:hint="eastAsia" w:ascii="新宋体" w:hAnsi="新宋体" w:eastAsia="新宋体" w:cs="新宋体"/>
          <w:b/>
          <w:spacing w:val="0"/>
          <w:sz w:val="21"/>
          <w:szCs w:val="21"/>
        </w:rPr>
        <w:t>（2）投标人须将本项目要求提供的所有样品，于开标截止时间前1个工作日下午17：00前送达福建省顺鑫招标代 理有限公司，所有样品均应粘贴标签，上面标明货物名 称及对应合同包号，样品不能体现“生产厂家（品 牌）和投标人名 称”，未按以上规定提交投标样品的将被视为无效投标。</w:t>
      </w:r>
    </w:p>
    <w:p w14:paraId="02C18F1B">
      <w:pPr>
        <w:pStyle w:val="5"/>
        <w:keepNext w:val="0"/>
        <w:keepLines w:val="0"/>
        <w:widowControl/>
        <w:suppressLineNumbers w:val="0"/>
        <w:spacing w:before="0" w:beforeAutospacing="0" w:after="150" w:afterAutospacing="0"/>
        <w:ind w:left="0" w:right="0"/>
      </w:pPr>
      <w:r>
        <w:rPr>
          <w:rStyle w:val="8"/>
          <w:rFonts w:hint="eastAsia" w:ascii="新宋体" w:hAnsi="新宋体" w:eastAsia="新宋体" w:cs="新宋体"/>
          <w:b/>
          <w:spacing w:val="0"/>
          <w:sz w:val="21"/>
          <w:szCs w:val="21"/>
        </w:rPr>
        <w:t>（3）投标人开标时须携带本项目所有检测报告原件(检测报告上委托方需为投标人名 称)，如在评审过程中评标小组需要核查原件的，投标人须在30分钟内将检测报告原件提供给评标小组核查，未能提供检测报告原件或超过本项规定时间的，视为投标无效。</w:t>
      </w:r>
    </w:p>
    <w:p w14:paraId="507F2F4B">
      <w:pPr>
        <w:pStyle w:val="5"/>
        <w:keepNext w:val="0"/>
        <w:keepLines w:val="0"/>
        <w:widowControl/>
        <w:suppressLineNumbers w:val="0"/>
        <w:spacing w:before="75" w:beforeAutospacing="0" w:after="75" w:afterAutospacing="0"/>
        <w:ind w:left="0" w:right="0" w:firstLine="0"/>
      </w:pPr>
      <w:r>
        <w:rPr>
          <w:spacing w:val="0"/>
          <w:sz w:val="24"/>
          <w:szCs w:val="24"/>
        </w:rPr>
        <w:t> </w:t>
      </w:r>
    </w:p>
    <w:p w14:paraId="34B1596D">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0462A178">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16A9E144">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500AA656">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791A0C67">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76A51611">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287C1F57">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111F8969">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15467573">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45B382CE">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2FDF5D98">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31"/>
          <w:szCs w:val="31"/>
        </w:rPr>
        <w:t>第六章   政府采购合同（参考文本）</w:t>
      </w:r>
    </w:p>
    <w:p w14:paraId="170E5A54">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3FFB6674">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编制说明</w:t>
      </w:r>
    </w:p>
    <w:p w14:paraId="631E81D5">
      <w:pPr>
        <w:pStyle w:val="5"/>
        <w:keepNext w:val="0"/>
        <w:keepLines w:val="0"/>
        <w:widowControl/>
        <w:suppressLineNumbers w:val="0"/>
        <w:spacing w:before="75" w:beforeAutospacing="0" w:after="75" w:afterAutospacing="0"/>
        <w:ind w:left="0" w:right="0" w:firstLine="0"/>
      </w:pPr>
      <w:r>
        <w:rPr>
          <w:rStyle w:val="8"/>
          <w:rFonts w:hint="eastAsia" w:ascii="宋体" w:hAnsi="宋体" w:eastAsia="宋体" w:cs="宋体"/>
          <w:b/>
          <w:spacing w:val="0"/>
          <w:sz w:val="24"/>
          <w:szCs w:val="24"/>
        </w:rPr>
        <w:t>1、签订合同应遵守政府采购法、合同法。</w:t>
      </w:r>
    </w:p>
    <w:p w14:paraId="3E200237">
      <w:pPr>
        <w:pStyle w:val="5"/>
        <w:keepNext w:val="0"/>
        <w:keepLines w:val="0"/>
        <w:widowControl/>
        <w:suppressLineNumbers w:val="0"/>
        <w:spacing w:before="75" w:beforeAutospacing="0" w:after="75" w:afterAutospacing="0"/>
        <w:ind w:left="0" w:right="0" w:firstLine="0"/>
      </w:pPr>
      <w:r>
        <w:rPr>
          <w:rStyle w:val="8"/>
          <w:rFonts w:hint="eastAsia" w:ascii="宋体" w:hAnsi="宋体" w:eastAsia="宋体" w:cs="宋体"/>
          <w:b/>
          <w:spacing w:val="0"/>
          <w:sz w:val="24"/>
          <w:szCs w:val="24"/>
        </w:rPr>
        <w:t>2、签订合同时，采购人与中标人应结合招标文件第五章规定填列相应内容。招标文件第五章已有规定的，双方均不得变更或调整；招标文件第五章未作规定的，双方可通过友好协商进行约定。</w:t>
      </w:r>
    </w:p>
    <w:p w14:paraId="07B542E8">
      <w:pPr>
        <w:pStyle w:val="5"/>
        <w:keepNext w:val="0"/>
        <w:keepLines w:val="0"/>
        <w:widowControl/>
        <w:suppressLineNumbers w:val="0"/>
        <w:spacing w:before="75" w:beforeAutospacing="0" w:after="75" w:afterAutospacing="0"/>
        <w:ind w:left="0" w:right="0" w:firstLine="0"/>
      </w:pPr>
      <w:r>
        <w:rPr>
          <w:rStyle w:val="8"/>
          <w:rFonts w:hint="eastAsia" w:ascii="宋体" w:hAnsi="宋体" w:eastAsia="宋体" w:cs="宋体"/>
          <w:b/>
          <w:spacing w:val="0"/>
          <w:sz w:val="24"/>
          <w:szCs w:val="24"/>
        </w:rPr>
        <w:t>3、国家有关部门对若干合同有规范文本的，可使用相应合同文本。</w:t>
      </w:r>
    </w:p>
    <w:p w14:paraId="45075C70">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u w:val="single"/>
        </w:rPr>
        <w:t> </w:t>
      </w:r>
    </w:p>
    <w:p w14:paraId="257A66D3">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甲方：</w:t>
      </w:r>
      <w:r>
        <w:rPr>
          <w:rFonts w:hint="eastAsia" w:ascii="宋体" w:hAnsi="宋体" w:eastAsia="宋体" w:cs="宋体"/>
          <w:spacing w:val="0"/>
          <w:sz w:val="24"/>
          <w:szCs w:val="24"/>
          <w:u w:val="single"/>
        </w:rPr>
        <w:t>（采购人全称）</w:t>
      </w:r>
    </w:p>
    <w:p w14:paraId="3A94AF39">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乙方：</w:t>
      </w:r>
      <w:r>
        <w:rPr>
          <w:rFonts w:hint="eastAsia" w:ascii="宋体" w:hAnsi="宋体" w:eastAsia="宋体" w:cs="宋体"/>
          <w:spacing w:val="0"/>
          <w:sz w:val="24"/>
          <w:szCs w:val="24"/>
          <w:u w:val="single"/>
        </w:rPr>
        <w:t>（中标人全称）</w:t>
      </w:r>
    </w:p>
    <w:p w14:paraId="0D835408">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4FE0DEF6">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根据招标编号为</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的</w:t>
      </w:r>
      <w:r>
        <w:rPr>
          <w:rFonts w:hint="eastAsia" w:ascii="宋体" w:hAnsi="宋体" w:eastAsia="宋体" w:cs="宋体"/>
          <w:spacing w:val="0"/>
          <w:sz w:val="24"/>
          <w:szCs w:val="24"/>
          <w:u w:val="single"/>
        </w:rPr>
        <w:t>（填写“项目名称”）</w:t>
      </w:r>
      <w:r>
        <w:rPr>
          <w:rFonts w:hint="eastAsia" w:ascii="宋体" w:hAnsi="宋体" w:eastAsia="宋体" w:cs="宋体"/>
          <w:spacing w:val="0"/>
          <w:sz w:val="24"/>
          <w:szCs w:val="24"/>
        </w:rPr>
        <w:t>项目（以下简称：“本项目”）的招标结果，乙方为中标人。现经甲乙双方友好协商，就以下事项达成一致并签订本合同：</w:t>
      </w:r>
    </w:p>
    <w:p w14:paraId="04CB40F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1、下列合同文件是构成本合同不可分割的部分：</w:t>
      </w:r>
    </w:p>
    <w:p w14:paraId="3B242CE4">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1.1合同条款；</w:t>
      </w:r>
    </w:p>
    <w:p w14:paraId="39F8E484">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1.2招标文件、乙方的投标文件；</w:t>
      </w:r>
    </w:p>
    <w:p w14:paraId="0B11D59C">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1.3其他文件或材料：□无。□</w:t>
      </w:r>
      <w:r>
        <w:rPr>
          <w:rFonts w:hint="eastAsia" w:ascii="宋体" w:hAnsi="宋体" w:eastAsia="宋体" w:cs="宋体"/>
          <w:spacing w:val="0"/>
          <w:sz w:val="24"/>
          <w:szCs w:val="24"/>
          <w:u w:val="single"/>
        </w:rPr>
        <w:t>（按照实际情况编制填写需要增加的内容）</w:t>
      </w:r>
      <w:r>
        <w:rPr>
          <w:rFonts w:hint="eastAsia" w:ascii="宋体" w:hAnsi="宋体" w:eastAsia="宋体" w:cs="宋体"/>
          <w:spacing w:val="0"/>
          <w:sz w:val="24"/>
          <w:szCs w:val="24"/>
        </w:rPr>
        <w:t>。</w:t>
      </w:r>
    </w:p>
    <w:p w14:paraId="6DBA8E22">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2、合同标的</w:t>
      </w:r>
    </w:p>
    <w:p w14:paraId="5C5EA81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w:t>
      </w:r>
      <w:r>
        <w:rPr>
          <w:rFonts w:hint="eastAsia" w:ascii="宋体" w:hAnsi="宋体" w:eastAsia="宋体" w:cs="宋体"/>
          <w:spacing w:val="0"/>
          <w:sz w:val="24"/>
          <w:szCs w:val="24"/>
        </w:rPr>
        <w:t>。</w:t>
      </w:r>
    </w:p>
    <w:p w14:paraId="417D7580">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3、合同总金额</w:t>
      </w:r>
    </w:p>
    <w:p w14:paraId="51FAE0D2">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3.1合同总金额为人民币大写：</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元（￥</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w:t>
      </w:r>
    </w:p>
    <w:p w14:paraId="51055B1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4、合同标的交付时间、地点和条件</w:t>
      </w:r>
    </w:p>
    <w:p w14:paraId="6F6AA60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4.1交付时间：</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w:t>
      </w:r>
    </w:p>
    <w:p w14:paraId="3839E713">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4.2交付地点：</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w:t>
      </w:r>
    </w:p>
    <w:p w14:paraId="2A070A77">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4.3交付条件：</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w:t>
      </w:r>
    </w:p>
    <w:p w14:paraId="24D4068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5、合同标的应符合招标文件、乙方投标文件的规定或约定，具体如下：</w:t>
      </w:r>
    </w:p>
    <w:p w14:paraId="57F67CAF">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w:t>
      </w:r>
      <w:r>
        <w:rPr>
          <w:rFonts w:hint="eastAsia" w:ascii="宋体" w:hAnsi="宋体" w:eastAsia="宋体" w:cs="宋体"/>
          <w:spacing w:val="0"/>
          <w:sz w:val="24"/>
          <w:szCs w:val="24"/>
        </w:rPr>
        <w:t>。</w:t>
      </w:r>
    </w:p>
    <w:p w14:paraId="26629DDC">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6、验收</w:t>
      </w:r>
    </w:p>
    <w:p w14:paraId="64C79E5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6.1验收应按照招标文件、乙方投标文件的规定或约定进行，具体如下：</w:t>
      </w:r>
    </w:p>
    <w:p w14:paraId="18481822">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w:t>
      </w:r>
      <w:r>
        <w:rPr>
          <w:rFonts w:hint="eastAsia" w:ascii="宋体" w:hAnsi="宋体" w:eastAsia="宋体" w:cs="宋体"/>
          <w:spacing w:val="0"/>
          <w:sz w:val="24"/>
          <w:szCs w:val="24"/>
        </w:rPr>
        <w:t>。</w:t>
      </w:r>
    </w:p>
    <w:p w14:paraId="3B449676">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6.2本项目是否邀请其他投标人参与验收：</w:t>
      </w:r>
    </w:p>
    <w:p w14:paraId="420B9AA3">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□不邀请。□邀请，具体如下：</w:t>
      </w:r>
      <w:r>
        <w:rPr>
          <w:rFonts w:hint="eastAsia" w:ascii="宋体" w:hAnsi="宋体" w:eastAsia="宋体" w:cs="宋体"/>
          <w:spacing w:val="0"/>
          <w:sz w:val="24"/>
          <w:szCs w:val="24"/>
          <w:u w:val="single"/>
        </w:rPr>
        <w:t>（按照招标文件规定填写）</w:t>
      </w:r>
      <w:r>
        <w:rPr>
          <w:rFonts w:hint="eastAsia" w:ascii="宋体" w:hAnsi="宋体" w:eastAsia="宋体" w:cs="宋体"/>
          <w:spacing w:val="0"/>
          <w:sz w:val="24"/>
          <w:szCs w:val="24"/>
        </w:rPr>
        <w:t>。</w:t>
      </w:r>
    </w:p>
    <w:p w14:paraId="72C359C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7、合同款项的支付应按照招标文件的规定进行，具体如下：</w:t>
      </w:r>
    </w:p>
    <w:p w14:paraId="33A0D6D4">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（按照实际情况编制填写，可以是表格或文字描述，包括一次性支付或分期支付等）</w:t>
      </w:r>
      <w:r>
        <w:rPr>
          <w:rFonts w:hint="eastAsia" w:ascii="宋体" w:hAnsi="宋体" w:eastAsia="宋体" w:cs="宋体"/>
          <w:spacing w:val="0"/>
          <w:sz w:val="24"/>
          <w:szCs w:val="24"/>
        </w:rPr>
        <w:t>。</w:t>
      </w:r>
    </w:p>
    <w:p w14:paraId="37428B3F">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8、履约保证金</w:t>
      </w:r>
    </w:p>
    <w:p w14:paraId="4A7C5FB2">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□无。□有，具体如下：</w:t>
      </w:r>
      <w:r>
        <w:rPr>
          <w:rFonts w:hint="eastAsia" w:ascii="宋体" w:hAnsi="宋体" w:eastAsia="宋体" w:cs="宋体"/>
          <w:spacing w:val="0"/>
          <w:sz w:val="24"/>
          <w:szCs w:val="24"/>
          <w:u w:val="single"/>
        </w:rPr>
        <w:t>（按照招标文件规定填写）</w:t>
      </w:r>
      <w:r>
        <w:rPr>
          <w:rFonts w:hint="eastAsia" w:ascii="宋体" w:hAnsi="宋体" w:eastAsia="宋体" w:cs="宋体"/>
          <w:spacing w:val="0"/>
          <w:sz w:val="24"/>
          <w:szCs w:val="24"/>
        </w:rPr>
        <w:t>。</w:t>
      </w:r>
    </w:p>
    <w:p w14:paraId="1DB28C2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9、合同有效期</w:t>
      </w:r>
    </w:p>
    <w:p w14:paraId="290D5A9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w:t>
      </w:r>
      <w:r>
        <w:rPr>
          <w:rFonts w:hint="eastAsia" w:ascii="宋体" w:hAnsi="宋体" w:eastAsia="宋体" w:cs="宋体"/>
          <w:spacing w:val="0"/>
          <w:sz w:val="24"/>
          <w:szCs w:val="24"/>
        </w:rPr>
        <w:t>。</w:t>
      </w:r>
    </w:p>
    <w:p w14:paraId="7369750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10、违约责任</w:t>
      </w:r>
    </w:p>
    <w:p w14:paraId="787A59C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w:t>
      </w:r>
      <w:r>
        <w:rPr>
          <w:rFonts w:hint="eastAsia" w:ascii="宋体" w:hAnsi="宋体" w:eastAsia="宋体" w:cs="宋体"/>
          <w:spacing w:val="0"/>
          <w:sz w:val="24"/>
          <w:szCs w:val="24"/>
        </w:rPr>
        <w:t>。</w:t>
      </w:r>
    </w:p>
    <w:p w14:paraId="3DACE064">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11、知识产权</w:t>
      </w:r>
    </w:p>
    <w:p w14:paraId="3DE68B67">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14:paraId="4922C4C5">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11.2若乙方提供的采购标的不符合国家知识产权法律、法规的规定或被有关主管机关认定为假冒伪劣品，则乙方中标资格将被取消；甲方还将按照有关法律、法规和规章的规定进行处理，具体如下：</w:t>
      </w:r>
      <w:r>
        <w:rPr>
          <w:rFonts w:hint="eastAsia" w:ascii="宋体" w:hAnsi="宋体" w:eastAsia="宋体" w:cs="宋体"/>
          <w:spacing w:val="0"/>
          <w:sz w:val="24"/>
          <w:szCs w:val="24"/>
          <w:u w:val="single"/>
        </w:rPr>
        <w:t>（按照实际情况编制填写）</w:t>
      </w:r>
      <w:r>
        <w:rPr>
          <w:rFonts w:hint="eastAsia" w:ascii="宋体" w:hAnsi="宋体" w:eastAsia="宋体" w:cs="宋体"/>
          <w:spacing w:val="0"/>
          <w:sz w:val="24"/>
          <w:szCs w:val="24"/>
        </w:rPr>
        <w:t>。</w:t>
      </w:r>
    </w:p>
    <w:p w14:paraId="4CBDCD1D">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12、解决争议的方法</w:t>
      </w:r>
    </w:p>
    <w:p w14:paraId="296EF3F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12.1甲、乙双方协商解决。</w:t>
      </w:r>
    </w:p>
    <w:p w14:paraId="4D23E377">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12.2若协商解决不成，则通过下列途径之一解决：</w:t>
      </w:r>
    </w:p>
    <w:p w14:paraId="429C2785">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□提交仲裁委员会仲裁，具体如下：</w:t>
      </w:r>
      <w:r>
        <w:rPr>
          <w:rFonts w:hint="eastAsia" w:ascii="宋体" w:hAnsi="宋体" w:eastAsia="宋体" w:cs="宋体"/>
          <w:spacing w:val="0"/>
          <w:sz w:val="24"/>
          <w:szCs w:val="24"/>
          <w:u w:val="single"/>
        </w:rPr>
        <w:t>（按照实际情况编制填写）</w:t>
      </w:r>
      <w:r>
        <w:rPr>
          <w:rFonts w:hint="eastAsia" w:ascii="宋体" w:hAnsi="宋体" w:eastAsia="宋体" w:cs="宋体"/>
          <w:spacing w:val="0"/>
          <w:sz w:val="24"/>
          <w:szCs w:val="24"/>
        </w:rPr>
        <w:t>。</w:t>
      </w:r>
    </w:p>
    <w:p w14:paraId="54F10A7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□向人民法院提起诉讼，具体如下：</w:t>
      </w:r>
      <w:r>
        <w:rPr>
          <w:rFonts w:hint="eastAsia" w:ascii="宋体" w:hAnsi="宋体" w:eastAsia="宋体" w:cs="宋体"/>
          <w:spacing w:val="0"/>
          <w:sz w:val="24"/>
          <w:szCs w:val="24"/>
          <w:u w:val="single"/>
        </w:rPr>
        <w:t>（按照实际情况编制填写）</w:t>
      </w:r>
      <w:r>
        <w:rPr>
          <w:rFonts w:hint="eastAsia" w:ascii="宋体" w:hAnsi="宋体" w:eastAsia="宋体" w:cs="宋体"/>
          <w:spacing w:val="0"/>
          <w:sz w:val="24"/>
          <w:szCs w:val="24"/>
        </w:rPr>
        <w:t>。</w:t>
      </w:r>
    </w:p>
    <w:p w14:paraId="30CBD11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13、不可抗力</w:t>
      </w:r>
    </w:p>
    <w:p w14:paraId="0A0E7C2D">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13.1因不可抗力造成违约的，遭受不可抗力一方应及时向对方通报不能履行或不能完全履行的理由，并在随后取得有关主管机关证明后的</w:t>
      </w:r>
      <w:r>
        <w:rPr>
          <w:rFonts w:hint="default" w:ascii="Calibri" w:hAnsi="Calibri" w:cs="Calibri"/>
          <w:spacing w:val="0"/>
          <w:sz w:val="24"/>
          <w:szCs w:val="24"/>
        </w:rPr>
        <w:t>15</w:t>
      </w:r>
      <w:r>
        <w:rPr>
          <w:rFonts w:hint="eastAsia" w:ascii="宋体" w:hAnsi="宋体" w:eastAsia="宋体" w:cs="宋体"/>
          <w:spacing w:val="0"/>
          <w:sz w:val="24"/>
          <w:szCs w:val="24"/>
        </w:rPr>
        <w:t>日内向另一方提供不可抗力发生及持续期间的充分证据。基于以上行为，允许遭受不可抗力一方延期履行、部分履行或不履行合同，并根据情况可部分或全部免于承担违约责任。</w:t>
      </w:r>
    </w:p>
    <w:p w14:paraId="3CEB7B2A">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13.2本合同中的不可抗力指不能预见、不能避免、不能克服的客观情况，包括但不限于：自然灾害如地震、台风、洪水、火灾及政府行为、法律规定或其适用的变化或其他任何无法预见、避免或控制的事件。</w:t>
      </w:r>
    </w:p>
    <w:p w14:paraId="44961E28">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14、合同条款</w:t>
      </w:r>
    </w:p>
    <w:p w14:paraId="306F3F40">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（按照实际情况编制填写。招标文件第五章已有规定的，双方均不得变更或调整；招标文件第五章未作规定的，双方可通过友好协商进行约定）</w:t>
      </w:r>
      <w:r>
        <w:rPr>
          <w:rFonts w:hint="eastAsia" w:ascii="宋体" w:hAnsi="宋体" w:eastAsia="宋体" w:cs="宋体"/>
          <w:spacing w:val="0"/>
          <w:sz w:val="24"/>
          <w:szCs w:val="24"/>
        </w:rPr>
        <w:t>。</w:t>
      </w:r>
    </w:p>
    <w:p w14:paraId="3BF874D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15、其他约定</w:t>
      </w:r>
    </w:p>
    <w:p w14:paraId="2FBDCB6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15.1合同文件与本合同具有同等法律效力。</w:t>
      </w:r>
    </w:p>
    <w:p w14:paraId="194139B3">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15.2本合同未尽事宜，双方可另行补充。</w:t>
      </w:r>
    </w:p>
    <w:p w14:paraId="5F2EBEF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15.3合同生效：自签订之日起生效；通过福建省政府采购网上公开信息系统采用电子形式签订合同的，签订之日以系统记载的双方使用各自</w:t>
      </w:r>
      <w:r>
        <w:rPr>
          <w:rFonts w:hint="default" w:ascii="Calibri" w:hAnsi="Calibri" w:cs="Calibri"/>
          <w:spacing w:val="0"/>
          <w:sz w:val="24"/>
          <w:szCs w:val="24"/>
        </w:rPr>
        <w:t>CA</w:t>
      </w:r>
      <w:r>
        <w:rPr>
          <w:rFonts w:hint="eastAsia" w:ascii="宋体" w:hAnsi="宋体" w:eastAsia="宋体" w:cs="宋体"/>
          <w:spacing w:val="0"/>
          <w:sz w:val="24"/>
          <w:szCs w:val="24"/>
        </w:rPr>
        <w:t>证书在合同上加盖单位公章或合同章的日期中的最晚时间为准。</w:t>
      </w:r>
    </w:p>
    <w:p w14:paraId="683D211C">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15.4本合同一式</w:t>
      </w:r>
      <w:r>
        <w:rPr>
          <w:rFonts w:hint="eastAsia" w:ascii="宋体" w:hAnsi="宋体" w:eastAsia="宋体" w:cs="宋体"/>
          <w:spacing w:val="0"/>
          <w:sz w:val="24"/>
          <w:szCs w:val="24"/>
          <w:u w:val="single"/>
        </w:rPr>
        <w:t>（填写具体份数）</w:t>
      </w:r>
      <w:r>
        <w:rPr>
          <w:rFonts w:hint="eastAsia" w:ascii="宋体" w:hAnsi="宋体" w:eastAsia="宋体" w:cs="宋体"/>
          <w:spacing w:val="0"/>
          <w:sz w:val="24"/>
          <w:szCs w:val="24"/>
        </w:rPr>
        <w:t>份，经双方授权代表签字并盖章后生效。甲方、乙方各执</w:t>
      </w:r>
      <w:r>
        <w:rPr>
          <w:rFonts w:hint="eastAsia" w:ascii="宋体" w:hAnsi="宋体" w:eastAsia="宋体" w:cs="宋体"/>
          <w:spacing w:val="0"/>
          <w:sz w:val="24"/>
          <w:szCs w:val="24"/>
          <w:u w:val="single"/>
        </w:rPr>
        <w:t>（填写具体份数）</w:t>
      </w:r>
      <w:r>
        <w:rPr>
          <w:rFonts w:hint="eastAsia" w:ascii="宋体" w:hAnsi="宋体" w:eastAsia="宋体" w:cs="宋体"/>
          <w:spacing w:val="0"/>
          <w:sz w:val="24"/>
          <w:szCs w:val="24"/>
        </w:rPr>
        <w:t>份，送</w:t>
      </w:r>
      <w:r>
        <w:rPr>
          <w:rFonts w:hint="eastAsia" w:ascii="宋体" w:hAnsi="宋体" w:eastAsia="宋体" w:cs="宋体"/>
          <w:spacing w:val="0"/>
          <w:sz w:val="24"/>
          <w:szCs w:val="24"/>
          <w:u w:val="single"/>
        </w:rPr>
        <w:t>（填写需要备案的监管部门的全称）</w:t>
      </w:r>
      <w:r>
        <w:rPr>
          <w:rFonts w:hint="eastAsia" w:ascii="宋体" w:hAnsi="宋体" w:eastAsia="宋体" w:cs="宋体"/>
          <w:spacing w:val="0"/>
          <w:sz w:val="24"/>
          <w:szCs w:val="24"/>
        </w:rPr>
        <w:t>备案</w:t>
      </w:r>
      <w:r>
        <w:rPr>
          <w:rFonts w:hint="eastAsia" w:ascii="宋体" w:hAnsi="宋体" w:eastAsia="宋体" w:cs="宋体"/>
          <w:spacing w:val="0"/>
          <w:sz w:val="24"/>
          <w:szCs w:val="24"/>
          <w:u w:val="single"/>
        </w:rPr>
        <w:t>（填写具体份数）</w:t>
      </w:r>
      <w:r>
        <w:rPr>
          <w:rFonts w:hint="eastAsia" w:ascii="宋体" w:hAnsi="宋体" w:eastAsia="宋体" w:cs="宋体"/>
          <w:spacing w:val="0"/>
          <w:sz w:val="24"/>
          <w:szCs w:val="24"/>
        </w:rPr>
        <w:t>份，具有同等效力。</w:t>
      </w:r>
    </w:p>
    <w:p w14:paraId="2AF23C9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15.5其他：□无。□</w:t>
      </w:r>
      <w:r>
        <w:rPr>
          <w:rFonts w:hint="eastAsia" w:ascii="宋体" w:hAnsi="宋体" w:eastAsia="宋体" w:cs="宋体"/>
          <w:spacing w:val="0"/>
          <w:sz w:val="24"/>
          <w:szCs w:val="24"/>
          <w:u w:val="single"/>
        </w:rPr>
        <w:t>（按照实际情况编制填写需要增加的内容）</w:t>
      </w:r>
      <w:r>
        <w:rPr>
          <w:rFonts w:hint="eastAsia" w:ascii="宋体" w:hAnsi="宋体" w:eastAsia="宋体" w:cs="宋体"/>
          <w:spacing w:val="0"/>
          <w:sz w:val="24"/>
          <w:szCs w:val="24"/>
        </w:rPr>
        <w:t>。</w:t>
      </w:r>
    </w:p>
    <w:p w14:paraId="7339BE20">
      <w:pPr>
        <w:pStyle w:val="5"/>
        <w:keepNext w:val="0"/>
        <w:keepLines w:val="0"/>
        <w:widowControl/>
        <w:suppressLineNumbers w:val="0"/>
        <w:spacing w:before="75" w:beforeAutospacing="0" w:after="75" w:afterAutospacing="0"/>
        <w:ind w:left="0" w:right="0" w:firstLine="0"/>
        <w:jc w:val="center"/>
      </w:pPr>
      <w:r>
        <w:rPr>
          <w:rFonts w:hint="eastAsia" w:ascii="宋体" w:hAnsi="宋体" w:eastAsia="宋体" w:cs="宋体"/>
          <w:spacing w:val="0"/>
          <w:sz w:val="24"/>
          <w:szCs w:val="24"/>
        </w:rPr>
        <w:t>（以下无正文）</w:t>
      </w:r>
    </w:p>
    <w:p w14:paraId="7BA39F10">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30559EBD">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2C293FB6">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甲方：                    乙方：</w:t>
      </w:r>
    </w:p>
    <w:p w14:paraId="25A5D000">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住所：                    住所：</w:t>
      </w:r>
    </w:p>
    <w:p w14:paraId="3A0C5E5C">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单位负责人：                 单位负责人：</w:t>
      </w:r>
    </w:p>
    <w:p w14:paraId="595B1EB8">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13D1C620">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委托代理人：                 委托代理人：</w:t>
      </w:r>
    </w:p>
    <w:p w14:paraId="4E39B45C">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18A347C3">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联系方法：                  联系方法：</w:t>
      </w:r>
    </w:p>
    <w:p w14:paraId="6B2E3FDC">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开户银行：                  开户银行：</w:t>
      </w:r>
    </w:p>
    <w:p w14:paraId="063E2297">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账号：                    账号：</w:t>
      </w:r>
    </w:p>
    <w:p w14:paraId="161EC4B2">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3EEDEA6D">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0C97FEFA">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签订地点：</w:t>
      </w:r>
      <w:r>
        <w:rPr>
          <w:rFonts w:hint="eastAsia" w:ascii="宋体" w:hAnsi="宋体" w:eastAsia="宋体" w:cs="宋体"/>
          <w:spacing w:val="0"/>
          <w:sz w:val="24"/>
          <w:szCs w:val="24"/>
          <w:u w:val="single"/>
        </w:rPr>
        <w:t>                </w:t>
      </w:r>
    </w:p>
    <w:p w14:paraId="3A6EDE77">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签订日期：</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年</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月</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日</w:t>
      </w:r>
    </w:p>
    <w:p w14:paraId="38615383">
      <w:pPr>
        <w:pStyle w:val="5"/>
        <w:keepNext w:val="0"/>
        <w:keepLines w:val="0"/>
        <w:widowControl/>
        <w:suppressLineNumbers w:val="0"/>
        <w:spacing w:before="75" w:beforeAutospacing="0" w:after="75" w:afterAutospacing="0"/>
        <w:ind w:left="0" w:right="0" w:firstLine="0"/>
        <w:jc w:val="center"/>
      </w:pPr>
      <w:r>
        <w:rPr>
          <w:spacing w:val="0"/>
          <w:sz w:val="24"/>
          <w:szCs w:val="24"/>
        </w:rPr>
        <w:t> </w:t>
      </w:r>
    </w:p>
    <w:p w14:paraId="0154B089">
      <w:pPr>
        <w:pStyle w:val="5"/>
        <w:keepNext w:val="0"/>
        <w:keepLines w:val="0"/>
        <w:widowControl/>
        <w:suppressLineNumbers w:val="0"/>
        <w:spacing w:before="75" w:beforeAutospacing="0" w:after="240" w:afterAutospacing="0"/>
        <w:ind w:left="0" w:right="0" w:firstLine="0"/>
      </w:pPr>
      <w:r>
        <w:rPr>
          <w:spacing w:val="0"/>
          <w:sz w:val="24"/>
          <w:szCs w:val="24"/>
        </w:rPr>
        <w:t> </w:t>
      </w:r>
    </w:p>
    <w:p w14:paraId="4EAFB5C5">
      <w:pPr>
        <w:pStyle w:val="5"/>
        <w:keepNext w:val="0"/>
        <w:keepLines w:val="0"/>
        <w:widowControl/>
        <w:suppressLineNumbers w:val="0"/>
        <w:spacing w:before="75" w:beforeAutospacing="0" w:after="75" w:afterAutospacing="0"/>
        <w:ind w:left="0" w:right="0" w:firstLine="0"/>
      </w:pPr>
      <w:r>
        <w:rPr>
          <w:rFonts w:hint="default" w:ascii="Calibri" w:hAnsi="Calibri" w:cs="Calibri"/>
          <w:spacing w:val="0"/>
          <w:sz w:val="21"/>
          <w:szCs w:val="21"/>
        </w:rPr>
        <w:t>                                                                                  </w:t>
      </w:r>
    </w:p>
    <w:p w14:paraId="732C7081">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3D18E676">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5E1F4E93">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4CEC4B4F">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1E29A65A">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6315EF33">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736B37C6">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31"/>
          <w:szCs w:val="31"/>
        </w:rPr>
        <w:t>第七章   投标文件格式</w:t>
      </w:r>
    </w:p>
    <w:p w14:paraId="131F9CC1">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4"/>
          <w:szCs w:val="24"/>
        </w:rPr>
        <w:t>编制说明</w:t>
      </w:r>
    </w:p>
    <w:p w14:paraId="2ADF4D21">
      <w:pPr>
        <w:pStyle w:val="5"/>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 </w:t>
      </w:r>
    </w:p>
    <w:p w14:paraId="61AE9263">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1、除招标文件另有规定外，本章中：</w:t>
      </w:r>
    </w:p>
    <w:p w14:paraId="6EF6C8CE">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1.1涉及投标人的</w:t>
      </w:r>
      <w:r>
        <w:rPr>
          <w:rStyle w:val="8"/>
          <w:rFonts w:hint="eastAsia" w:ascii="宋体" w:hAnsi="宋体" w:eastAsia="宋体" w:cs="宋体"/>
          <w:b/>
          <w:sz w:val="24"/>
          <w:szCs w:val="24"/>
        </w:rPr>
        <w:t>“全称”</w:t>
      </w:r>
      <w:r>
        <w:rPr>
          <w:rFonts w:hint="eastAsia" w:ascii="宋体" w:hAnsi="宋体" w:eastAsia="宋体" w:cs="宋体"/>
          <w:sz w:val="24"/>
          <w:szCs w:val="24"/>
        </w:rPr>
        <w:t>：</w:t>
      </w:r>
    </w:p>
    <w:p w14:paraId="54B026CD">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（1）不接受联合体投标的，指</w:t>
      </w:r>
      <w:r>
        <w:rPr>
          <w:rStyle w:val="8"/>
          <w:rFonts w:hint="eastAsia" w:ascii="宋体" w:hAnsi="宋体" w:eastAsia="宋体" w:cs="宋体"/>
          <w:b/>
          <w:sz w:val="24"/>
          <w:szCs w:val="24"/>
        </w:rPr>
        <w:t>投标人的全称</w:t>
      </w:r>
      <w:r>
        <w:rPr>
          <w:rFonts w:hint="eastAsia" w:ascii="宋体" w:hAnsi="宋体" w:eastAsia="宋体" w:cs="宋体"/>
          <w:sz w:val="24"/>
          <w:szCs w:val="24"/>
        </w:rPr>
        <w:t>。</w:t>
      </w:r>
    </w:p>
    <w:p w14:paraId="37E37DE6">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（2）接受联合体投标且投标人为联合体的，指</w:t>
      </w:r>
      <w:r>
        <w:rPr>
          <w:rStyle w:val="8"/>
          <w:rFonts w:hint="eastAsia" w:ascii="宋体" w:hAnsi="宋体" w:eastAsia="宋体" w:cs="宋体"/>
          <w:b/>
          <w:sz w:val="24"/>
          <w:szCs w:val="24"/>
        </w:rPr>
        <w:t>牵头方的全称</w:t>
      </w:r>
      <w:r>
        <w:rPr>
          <w:rFonts w:hint="eastAsia" w:ascii="宋体" w:hAnsi="宋体" w:eastAsia="宋体" w:cs="宋体"/>
          <w:sz w:val="24"/>
          <w:szCs w:val="24"/>
        </w:rPr>
        <w:t>并加注</w:t>
      </w:r>
      <w:r>
        <w:rPr>
          <w:rStyle w:val="8"/>
          <w:rFonts w:hint="eastAsia" w:ascii="宋体" w:hAnsi="宋体" w:eastAsia="宋体" w:cs="宋体"/>
          <w:b/>
          <w:sz w:val="24"/>
          <w:szCs w:val="24"/>
        </w:rPr>
        <w:t>（联合体牵头方）</w:t>
      </w:r>
      <w:r>
        <w:rPr>
          <w:rFonts w:hint="eastAsia" w:ascii="宋体" w:hAnsi="宋体" w:eastAsia="宋体" w:cs="宋体"/>
          <w:sz w:val="24"/>
          <w:szCs w:val="24"/>
        </w:rPr>
        <w:t>，即应表述为：</w:t>
      </w:r>
      <w:r>
        <w:rPr>
          <w:rStyle w:val="8"/>
          <w:rFonts w:hint="eastAsia" w:ascii="宋体" w:hAnsi="宋体" w:eastAsia="宋体" w:cs="宋体"/>
          <w:b/>
          <w:sz w:val="24"/>
          <w:szCs w:val="24"/>
        </w:rPr>
        <w:t>“牵头方的全称（联合体牵头方）”</w:t>
      </w:r>
      <w:r>
        <w:rPr>
          <w:rFonts w:hint="eastAsia" w:ascii="宋体" w:hAnsi="宋体" w:eastAsia="宋体" w:cs="宋体"/>
          <w:sz w:val="24"/>
          <w:szCs w:val="24"/>
        </w:rPr>
        <w:t>。</w:t>
      </w:r>
    </w:p>
    <w:p w14:paraId="0F77F4F1">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1.2涉及投标人</w:t>
      </w:r>
      <w:r>
        <w:rPr>
          <w:rStyle w:val="8"/>
          <w:rFonts w:hint="eastAsia" w:ascii="宋体" w:hAnsi="宋体" w:eastAsia="宋体" w:cs="宋体"/>
          <w:b/>
          <w:sz w:val="24"/>
          <w:szCs w:val="24"/>
        </w:rPr>
        <w:t>“加盖单位公章”</w:t>
      </w:r>
      <w:r>
        <w:rPr>
          <w:rFonts w:hint="eastAsia" w:ascii="宋体" w:hAnsi="宋体" w:eastAsia="宋体" w:cs="宋体"/>
          <w:sz w:val="24"/>
          <w:szCs w:val="24"/>
        </w:rPr>
        <w:t>：</w:t>
      </w:r>
    </w:p>
    <w:p w14:paraId="3AC51EF3">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（1）不接受联合体投标的，指</w:t>
      </w:r>
      <w:r>
        <w:rPr>
          <w:rStyle w:val="8"/>
          <w:rFonts w:hint="eastAsia" w:ascii="宋体" w:hAnsi="宋体" w:eastAsia="宋体" w:cs="宋体"/>
          <w:b/>
          <w:sz w:val="24"/>
          <w:szCs w:val="24"/>
        </w:rPr>
        <w:t>加盖投标人的单位公章</w:t>
      </w:r>
      <w:r>
        <w:rPr>
          <w:rFonts w:hint="eastAsia" w:ascii="宋体" w:hAnsi="宋体" w:eastAsia="宋体" w:cs="宋体"/>
          <w:sz w:val="24"/>
          <w:szCs w:val="24"/>
        </w:rPr>
        <w:t>。</w:t>
      </w:r>
    </w:p>
    <w:p w14:paraId="6A527E31">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（2）接受联合体投标且投标人为联合体的，指</w:t>
      </w:r>
      <w:r>
        <w:rPr>
          <w:rStyle w:val="8"/>
          <w:rFonts w:hint="eastAsia" w:ascii="宋体" w:hAnsi="宋体" w:eastAsia="宋体" w:cs="宋体"/>
          <w:b/>
          <w:sz w:val="24"/>
          <w:szCs w:val="24"/>
        </w:rPr>
        <w:t>加盖联合体牵头方的单位公章</w:t>
      </w:r>
      <w:r>
        <w:rPr>
          <w:rFonts w:hint="eastAsia" w:ascii="宋体" w:hAnsi="宋体" w:eastAsia="宋体" w:cs="宋体"/>
          <w:sz w:val="24"/>
          <w:szCs w:val="24"/>
        </w:rPr>
        <w:t>。</w:t>
      </w:r>
    </w:p>
    <w:p w14:paraId="5A0862FA">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1.3涉及</w:t>
      </w:r>
      <w:r>
        <w:rPr>
          <w:rStyle w:val="8"/>
          <w:rFonts w:hint="eastAsia" w:ascii="宋体" w:hAnsi="宋体" w:eastAsia="宋体" w:cs="宋体"/>
          <w:b/>
          <w:sz w:val="24"/>
          <w:szCs w:val="24"/>
        </w:rPr>
        <w:t>“投标人代表签字”</w:t>
      </w:r>
      <w:r>
        <w:rPr>
          <w:rFonts w:hint="eastAsia" w:ascii="宋体" w:hAnsi="宋体" w:eastAsia="宋体" w:cs="宋体"/>
          <w:sz w:val="24"/>
          <w:szCs w:val="24"/>
        </w:rPr>
        <w:t>：</w:t>
      </w:r>
    </w:p>
    <w:p w14:paraId="771B512A">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（1）不接受联合体投标的，指由</w:t>
      </w:r>
      <w:r>
        <w:rPr>
          <w:rStyle w:val="8"/>
          <w:rFonts w:hint="eastAsia" w:ascii="宋体" w:hAnsi="宋体" w:eastAsia="宋体" w:cs="宋体"/>
          <w:b/>
          <w:sz w:val="24"/>
          <w:szCs w:val="24"/>
        </w:rPr>
        <w:t>投标人的单位负责人或其授权的委托代理人签字</w:t>
      </w:r>
      <w:r>
        <w:rPr>
          <w:rFonts w:hint="eastAsia" w:ascii="宋体" w:hAnsi="宋体" w:eastAsia="宋体" w:cs="宋体"/>
          <w:sz w:val="24"/>
          <w:szCs w:val="24"/>
        </w:rPr>
        <w:t>，由委托代理人签字的，应提供“单位负责人授权书”。</w:t>
      </w:r>
    </w:p>
    <w:p w14:paraId="05BF0521">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（2）接受联合体投标且投标人为联合体的，指由</w:t>
      </w:r>
      <w:r>
        <w:rPr>
          <w:rStyle w:val="8"/>
          <w:rFonts w:hint="eastAsia" w:ascii="宋体" w:hAnsi="宋体" w:eastAsia="宋体" w:cs="宋体"/>
          <w:b/>
          <w:sz w:val="24"/>
          <w:szCs w:val="24"/>
        </w:rPr>
        <w:t>联合体牵头方的单位负责人或其授权的委托代理人签字</w:t>
      </w:r>
      <w:r>
        <w:rPr>
          <w:rFonts w:hint="eastAsia" w:ascii="宋体" w:hAnsi="宋体" w:eastAsia="宋体" w:cs="宋体"/>
          <w:sz w:val="24"/>
          <w:szCs w:val="24"/>
        </w:rPr>
        <w:t>，由委托代理人签字的，应提供“单位负责人授权书”。</w:t>
      </w:r>
    </w:p>
    <w:p w14:paraId="69A04292">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1.4</w:t>
      </w:r>
      <w:r>
        <w:rPr>
          <w:rStyle w:val="8"/>
          <w:rFonts w:hint="eastAsia" w:ascii="宋体" w:hAnsi="宋体" w:eastAsia="宋体" w:cs="宋体"/>
          <w:b/>
          <w:sz w:val="24"/>
          <w:szCs w:val="24"/>
        </w:rPr>
        <w:t>“其他组织”</w:t>
      </w:r>
      <w:r>
        <w:rPr>
          <w:rFonts w:hint="eastAsia" w:ascii="宋体" w:hAnsi="宋体" w:eastAsia="宋体" w:cs="宋体"/>
          <w:sz w:val="24"/>
          <w:szCs w:val="24"/>
        </w:rPr>
        <w:t>指合伙企业、非企业专业服务机构、个体工商户、农村承包经营户等。</w:t>
      </w:r>
    </w:p>
    <w:p w14:paraId="1CF6DB91">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1.5</w:t>
      </w:r>
      <w:r>
        <w:rPr>
          <w:rStyle w:val="8"/>
          <w:rFonts w:hint="eastAsia" w:ascii="宋体" w:hAnsi="宋体" w:eastAsia="宋体" w:cs="宋体"/>
          <w:b/>
          <w:sz w:val="24"/>
          <w:szCs w:val="24"/>
        </w:rPr>
        <w:t>“自然人”</w:t>
      </w:r>
      <w:r>
        <w:rPr>
          <w:rFonts w:hint="eastAsia" w:ascii="宋体" w:hAnsi="宋体" w:eastAsia="宋体" w:cs="宋体"/>
          <w:sz w:val="24"/>
          <w:szCs w:val="24"/>
        </w:rPr>
        <w:t>指具有完全民事行为能力、能够承担民事责任和义务的中国公民。</w:t>
      </w:r>
    </w:p>
    <w:p w14:paraId="10B2725B">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2、除招标文件另有规定外，本章中</w:t>
      </w:r>
      <w:r>
        <w:rPr>
          <w:rStyle w:val="8"/>
          <w:rFonts w:hint="eastAsia" w:ascii="宋体" w:hAnsi="宋体" w:eastAsia="宋体" w:cs="宋体"/>
          <w:b/>
          <w:sz w:val="24"/>
          <w:szCs w:val="24"/>
        </w:rPr>
        <w:t>“投标人的资格及资信证明文件”</w:t>
      </w:r>
      <w:r>
        <w:rPr>
          <w:rFonts w:hint="eastAsia" w:ascii="宋体" w:hAnsi="宋体" w:eastAsia="宋体" w:cs="宋体"/>
          <w:sz w:val="24"/>
          <w:szCs w:val="24"/>
        </w:rPr>
        <w:t>：</w:t>
      </w:r>
    </w:p>
    <w:p w14:paraId="744E71D2">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2.1投标人应按照招标文件第四章第</w:t>
      </w:r>
      <w:r>
        <w:rPr>
          <w:rFonts w:hint="default" w:ascii="Calibri" w:hAnsi="Calibri" w:eastAsia="宋体" w:cs="Calibri"/>
          <w:sz w:val="24"/>
          <w:szCs w:val="24"/>
        </w:rPr>
        <w:t>1.3</w:t>
      </w:r>
      <w:r>
        <w:rPr>
          <w:rFonts w:hint="eastAsia" w:ascii="宋体" w:hAnsi="宋体" w:eastAsia="宋体" w:cs="宋体"/>
          <w:sz w:val="24"/>
          <w:szCs w:val="24"/>
        </w:rPr>
        <w:t>条第（</w:t>
      </w:r>
      <w:r>
        <w:rPr>
          <w:rFonts w:hint="default" w:ascii="Calibri" w:hAnsi="Calibri" w:eastAsia="宋体" w:cs="Calibri"/>
          <w:sz w:val="24"/>
          <w:szCs w:val="24"/>
        </w:rPr>
        <w:t>2</w:t>
      </w:r>
      <w:r>
        <w:rPr>
          <w:rFonts w:hint="eastAsia" w:ascii="宋体" w:hAnsi="宋体" w:eastAsia="宋体" w:cs="宋体"/>
          <w:sz w:val="24"/>
          <w:szCs w:val="24"/>
        </w:rPr>
        <w:t>）款规定及本章规定进行编制，如有必要，可增加附页，附页作为资格及资信文件的组成部分。</w:t>
      </w:r>
    </w:p>
    <w:p w14:paraId="026858CA">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2.2接受联合体投标且投标人为联合体的，联合体中的各方均应按照本章第</w:t>
      </w:r>
      <w:r>
        <w:rPr>
          <w:rFonts w:hint="default" w:ascii="Calibri" w:hAnsi="Calibri" w:eastAsia="宋体" w:cs="Calibri"/>
          <w:sz w:val="24"/>
          <w:szCs w:val="24"/>
        </w:rPr>
        <w:t>2.1</w:t>
      </w:r>
      <w:r>
        <w:rPr>
          <w:rFonts w:hint="eastAsia" w:ascii="宋体" w:hAnsi="宋体" w:eastAsia="宋体" w:cs="宋体"/>
          <w:sz w:val="24"/>
          <w:szCs w:val="24"/>
        </w:rPr>
        <w:t>条规定提交相应的全部资料。</w:t>
      </w:r>
    </w:p>
    <w:p w14:paraId="74A38DE6">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3、投标人对投标文件的索引应编制页码。</w:t>
      </w:r>
    </w:p>
    <w:p w14:paraId="274EFC01">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4、除招标文件另有规定外，本章中：</w:t>
      </w:r>
    </w:p>
    <w:p w14:paraId="7F53ED94">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4.1除《检察机关行贿犯罪档案查询结果告知函》外，招标文件要求原件的，投标人在纸质投标文件正本中应提供原件；招标文件要求复印件的，投标人在纸质投标文件中提供原件、复印件（含扫描件）皆可；招标文件对原件、复印件未作要求的，投标人在纸质投标文件中提供原件、复印件（含扫描件）皆可。</w:t>
      </w:r>
    </w:p>
    <w:p w14:paraId="2DF3E9A3">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4.2除《检察机关行贿犯罪档案查询结果告知函》外，若投标人提供注明“复印件无效”的证明材料或资料，其纸质投标文件正本中应提供原件。</w:t>
      </w:r>
    </w:p>
    <w:p w14:paraId="4D58D3C3">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4.3《检察机关行贿犯罪档案查询结果告知函》：投标人在纸质投标文件正本中提供原件、复印件（含扫描件）、符合本章规定的打印件（或截图）皆可。</w:t>
      </w:r>
    </w:p>
    <w:p w14:paraId="08EA92CA">
      <w:pPr>
        <w:pStyle w:val="5"/>
        <w:keepNext w:val="0"/>
        <w:keepLines w:val="0"/>
        <w:widowControl/>
        <w:suppressLineNumbers w:val="0"/>
        <w:spacing w:before="0" w:beforeAutospacing="0" w:after="150" w:afterAutospacing="0"/>
        <w:ind w:left="0" w:right="0"/>
      </w:pPr>
    </w:p>
    <w:p w14:paraId="085B4E3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1B08FA2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63A46C76">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35047BD9">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40A15F6E">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1B443831">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4DD69241">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4276F506">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668F1B76">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38B1EF66">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47AF4A3B">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79302DA1">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6937DDBC">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77DF45EA">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53527096">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08E31B87">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71592018">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8"/>
          <w:szCs w:val="28"/>
        </w:rPr>
        <w:t>封面格式</w:t>
      </w:r>
    </w:p>
    <w:p w14:paraId="7D54CBEA">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155950D3">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5CB0EBFF">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2F45C48A">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48"/>
          <w:szCs w:val="48"/>
        </w:rPr>
        <w:t>福建省政府采购投标文件</w:t>
      </w:r>
    </w:p>
    <w:p w14:paraId="042B663C">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48"/>
          <w:szCs w:val="48"/>
        </w:rPr>
        <w:t>（资格及资信证明部分）</w:t>
      </w:r>
    </w:p>
    <w:p w14:paraId="1579F580">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19077304">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6"/>
          <w:szCs w:val="36"/>
          <w:u w:val="single"/>
        </w:rPr>
        <w:t>（填写正本或副本）</w:t>
      </w:r>
    </w:p>
    <w:p w14:paraId="153303FF">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590882BA">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项目名称：</w:t>
      </w:r>
      <w:r>
        <w:rPr>
          <w:rStyle w:val="8"/>
          <w:rFonts w:hint="eastAsia" w:ascii="宋体" w:hAnsi="宋体" w:eastAsia="宋体" w:cs="宋体"/>
          <w:b/>
          <w:sz w:val="31"/>
          <w:szCs w:val="31"/>
          <w:u w:val="single"/>
        </w:rPr>
        <w:t>（由投标人填写）</w:t>
      </w:r>
    </w:p>
    <w:p w14:paraId="79F643D3">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备案编号：</w:t>
      </w:r>
      <w:r>
        <w:rPr>
          <w:rStyle w:val="8"/>
          <w:rFonts w:hint="eastAsia" w:ascii="宋体" w:hAnsi="宋体" w:eastAsia="宋体" w:cs="宋体"/>
          <w:b/>
          <w:sz w:val="31"/>
          <w:szCs w:val="31"/>
          <w:u w:val="single"/>
        </w:rPr>
        <w:t>（由投标人填写）</w:t>
      </w:r>
    </w:p>
    <w:p w14:paraId="71FF6276">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招标编号：</w:t>
      </w:r>
      <w:r>
        <w:rPr>
          <w:rStyle w:val="8"/>
          <w:rFonts w:hint="eastAsia" w:ascii="宋体" w:hAnsi="宋体" w:eastAsia="宋体" w:cs="宋体"/>
          <w:b/>
          <w:sz w:val="31"/>
          <w:szCs w:val="31"/>
          <w:u w:val="single"/>
        </w:rPr>
        <w:t>（由投标人填写）</w:t>
      </w:r>
    </w:p>
    <w:p w14:paraId="00C510A1">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所投合同包：</w:t>
      </w:r>
      <w:r>
        <w:rPr>
          <w:rStyle w:val="8"/>
          <w:rFonts w:hint="eastAsia" w:ascii="宋体" w:hAnsi="宋体" w:eastAsia="宋体" w:cs="宋体"/>
          <w:b/>
          <w:sz w:val="31"/>
          <w:szCs w:val="31"/>
          <w:u w:val="single"/>
        </w:rPr>
        <w:t>（由投标人填写）</w:t>
      </w:r>
    </w:p>
    <w:p w14:paraId="0F2B72B0">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4024D790">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65849AE7">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1"/>
          <w:szCs w:val="31"/>
        </w:rPr>
        <w:t>投标人：</w:t>
      </w:r>
      <w:r>
        <w:rPr>
          <w:rStyle w:val="8"/>
          <w:rFonts w:hint="eastAsia" w:ascii="宋体" w:hAnsi="宋体" w:eastAsia="宋体" w:cs="宋体"/>
          <w:b/>
          <w:sz w:val="31"/>
          <w:szCs w:val="31"/>
          <w:u w:val="single"/>
        </w:rPr>
        <w:t>（填写“全称”）</w:t>
      </w:r>
    </w:p>
    <w:p w14:paraId="48F8FCC8">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1"/>
          <w:szCs w:val="31"/>
          <w:u w:val="single"/>
        </w:rPr>
        <w:t>（由投标人填写）</w:t>
      </w:r>
      <w:r>
        <w:rPr>
          <w:rStyle w:val="8"/>
          <w:rFonts w:hint="eastAsia" w:ascii="宋体" w:hAnsi="宋体" w:eastAsia="宋体" w:cs="宋体"/>
          <w:b/>
          <w:sz w:val="31"/>
          <w:szCs w:val="31"/>
        </w:rPr>
        <w:t>年</w:t>
      </w:r>
      <w:r>
        <w:rPr>
          <w:rStyle w:val="8"/>
          <w:rFonts w:hint="eastAsia" w:ascii="宋体" w:hAnsi="宋体" w:eastAsia="宋体" w:cs="宋体"/>
          <w:b/>
          <w:sz w:val="31"/>
          <w:szCs w:val="31"/>
          <w:u w:val="single"/>
        </w:rPr>
        <w:t>（由投标人填写）</w:t>
      </w:r>
      <w:r>
        <w:rPr>
          <w:rStyle w:val="8"/>
          <w:rFonts w:hint="eastAsia" w:ascii="宋体" w:hAnsi="宋体" w:eastAsia="宋体" w:cs="宋体"/>
          <w:b/>
          <w:sz w:val="31"/>
          <w:szCs w:val="31"/>
        </w:rPr>
        <w:t>月</w:t>
      </w:r>
    </w:p>
    <w:p w14:paraId="2EC9B0B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088B60A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1E944906">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8"/>
          <w:rFonts w:hint="eastAsia" w:ascii="宋体" w:hAnsi="宋体" w:eastAsia="宋体" w:cs="宋体"/>
          <w:b/>
          <w:sz w:val="28"/>
          <w:szCs w:val="28"/>
        </w:rPr>
        <w:t>索引</w:t>
      </w:r>
    </w:p>
    <w:p w14:paraId="6A477E17">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一、投标函</w:t>
      </w:r>
    </w:p>
    <w:p w14:paraId="3E1CB73A">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二、投标人的资格及资信证明文件</w:t>
      </w:r>
    </w:p>
    <w:p w14:paraId="2F094B17">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三、投标保证金</w:t>
      </w:r>
    </w:p>
    <w:p w14:paraId="5F0E43C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0278E9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9499B7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2EB34479">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★注意</w:t>
      </w:r>
    </w:p>
    <w:p w14:paraId="2C348671">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资格及资信证明部分中不得出现报价部分的全部或部分的投标报价信息（或组成资料），否则</w:t>
      </w:r>
      <w:r>
        <w:rPr>
          <w:rStyle w:val="8"/>
          <w:rFonts w:hint="eastAsia" w:ascii="宋体" w:hAnsi="宋体" w:eastAsia="宋体" w:cs="宋体"/>
          <w:b/>
          <w:sz w:val="21"/>
          <w:szCs w:val="21"/>
        </w:rPr>
        <w:t>资格审查不合格</w:t>
      </w:r>
      <w:r>
        <w:rPr>
          <w:rFonts w:hint="eastAsia" w:ascii="宋体" w:hAnsi="宋体" w:eastAsia="宋体" w:cs="宋体"/>
          <w:sz w:val="21"/>
          <w:szCs w:val="21"/>
        </w:rPr>
        <w:t>。</w:t>
      </w:r>
    </w:p>
    <w:p w14:paraId="0F6FA613">
      <w:pPr>
        <w:pStyle w:val="5"/>
        <w:keepNext w:val="0"/>
        <w:keepLines w:val="0"/>
        <w:widowControl/>
        <w:suppressLineNumbers w:val="0"/>
        <w:spacing w:before="0" w:beforeAutospacing="0" w:after="150" w:afterAutospacing="0"/>
        <w:ind w:left="0" w:right="0"/>
      </w:pPr>
    </w:p>
    <w:p w14:paraId="294E5AEC">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14:paraId="2BEFBA0F">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B5F1370">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1A19E63">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EFFBC8B">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E7C50A0">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A5779CA">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82401DE">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02A2ED2">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251F107">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F0A5AC1">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DE10795">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928966B">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905F393">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C46EF65">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85835DB">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一、投标函</w:t>
      </w:r>
    </w:p>
    <w:p w14:paraId="55A543E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14:paraId="7B6C4E1E">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兹收到贵单位关于</w:t>
      </w:r>
      <w:r>
        <w:rPr>
          <w:rFonts w:hint="eastAsia" w:ascii="宋体" w:hAnsi="宋体" w:eastAsia="宋体" w:cs="宋体"/>
          <w:sz w:val="21"/>
          <w:szCs w:val="21"/>
          <w:u w:val="single"/>
        </w:rPr>
        <w:t>（填写“项目名称”）</w:t>
      </w:r>
      <w:r>
        <w:rPr>
          <w:rFonts w:hint="eastAsia" w:ascii="宋体" w:hAnsi="宋体" w:eastAsia="宋体" w:cs="宋体"/>
          <w:sz w:val="21"/>
          <w:szCs w:val="21"/>
        </w:rPr>
        <w:t>项目（招标编号：</w:t>
      </w:r>
      <w:r>
        <w:rPr>
          <w:rFonts w:hint="eastAsia" w:ascii="宋体" w:hAnsi="宋体" w:eastAsia="宋体" w:cs="宋体"/>
          <w:sz w:val="21"/>
          <w:szCs w:val="21"/>
          <w:u w:val="single"/>
        </w:rPr>
        <w:t>     </w:t>
      </w:r>
      <w:r>
        <w:rPr>
          <w:rFonts w:hint="eastAsia" w:ascii="宋体" w:hAnsi="宋体" w:eastAsia="宋体" w:cs="宋体"/>
          <w:sz w:val="21"/>
          <w:szCs w:val="21"/>
        </w:rPr>
        <w:t>）的投标邀请，本投标人代表</w:t>
      </w:r>
      <w:r>
        <w:rPr>
          <w:rFonts w:hint="eastAsia" w:ascii="宋体" w:hAnsi="宋体" w:eastAsia="宋体" w:cs="宋体"/>
          <w:sz w:val="21"/>
          <w:szCs w:val="21"/>
          <w:u w:val="single"/>
        </w:rPr>
        <w:t>（填写“全名”）</w:t>
      </w:r>
      <w:r>
        <w:rPr>
          <w:rFonts w:hint="eastAsia" w:ascii="宋体" w:hAnsi="宋体" w:eastAsia="宋体" w:cs="宋体"/>
          <w:sz w:val="21"/>
          <w:szCs w:val="21"/>
        </w:rPr>
        <w:t>已获得我方正式授权并代表投标人</w:t>
      </w:r>
      <w:r>
        <w:rPr>
          <w:rFonts w:hint="eastAsia" w:ascii="宋体" w:hAnsi="宋体" w:eastAsia="宋体" w:cs="宋体"/>
          <w:sz w:val="21"/>
          <w:szCs w:val="21"/>
          <w:u w:val="single"/>
        </w:rPr>
        <w:t>（填写“全称”）</w:t>
      </w:r>
      <w:r>
        <w:rPr>
          <w:rFonts w:hint="eastAsia" w:ascii="宋体" w:hAnsi="宋体" w:eastAsia="宋体" w:cs="宋体"/>
          <w:sz w:val="21"/>
          <w:szCs w:val="21"/>
        </w:rPr>
        <w:t>参加投标，并提交招标文件规定份数的投标文件正本和副本。我方提交的全部投标文件均由下述部分组成：</w:t>
      </w:r>
    </w:p>
    <w:p w14:paraId="3403295A">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（1）资格及资信证明部分</w:t>
      </w:r>
    </w:p>
    <w:p w14:paraId="29B11847">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①投标函</w:t>
      </w:r>
    </w:p>
    <w:p w14:paraId="221D6C67">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②投标人的资格及资信证明文件</w:t>
      </w:r>
    </w:p>
    <w:p w14:paraId="78F96D2E">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③投标保证金</w:t>
      </w:r>
    </w:p>
    <w:p w14:paraId="58178A82">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（2）报价部分</w:t>
      </w:r>
    </w:p>
    <w:p w14:paraId="0DEC7E91">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①开标一览表</w:t>
      </w:r>
    </w:p>
    <w:p w14:paraId="266EE450">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②投标分项报价表</w:t>
      </w:r>
    </w:p>
    <w:p w14:paraId="4DF86D9B">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③招标文件规定的价格扣除证明材料（若有）</w:t>
      </w:r>
    </w:p>
    <w:p w14:paraId="7B3257E1">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④招标文件规定的加分证明材料（若有）</w:t>
      </w:r>
    </w:p>
    <w:p w14:paraId="21CC1B38">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（3）技术商务部分</w:t>
      </w:r>
    </w:p>
    <w:p w14:paraId="71D4FB78">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①标的说明一览表</w:t>
      </w:r>
    </w:p>
    <w:p w14:paraId="7E994F86">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②技术和服务要求响应表</w:t>
      </w:r>
    </w:p>
    <w:p w14:paraId="5FEA7ADA">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③商务条件响应表</w:t>
      </w:r>
    </w:p>
    <w:p w14:paraId="40AD10D8">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④投标人提交的其他资料（若有）</w:t>
      </w:r>
    </w:p>
    <w:p w14:paraId="65E377CC">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根据本函，本投标人代表宣布我方保证遵守招标文件的全部规定，同时：</w:t>
      </w:r>
    </w:p>
    <w:p w14:paraId="4327D613">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w:t>
      </w:r>
      <w:r>
        <w:rPr>
          <w:rStyle w:val="8"/>
          <w:rFonts w:hint="eastAsia" w:ascii="宋体" w:hAnsi="宋体" w:eastAsia="宋体" w:cs="宋体"/>
          <w:b/>
          <w:sz w:val="21"/>
          <w:szCs w:val="21"/>
        </w:rPr>
        <w:t>确认：</w:t>
      </w:r>
    </w:p>
    <w:p w14:paraId="066D1376">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1.1所投合同包的投标报价详见“开标一览表”及“投标分项报价表”。</w:t>
      </w:r>
    </w:p>
    <w:p w14:paraId="2BDD34B6">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1.2我方已详细审查全部招标文件</w:t>
      </w:r>
      <w:r>
        <w:rPr>
          <w:rFonts w:hint="default" w:ascii="Calibri" w:hAnsi="Calibri" w:eastAsia="宋体" w:cs="Calibri"/>
          <w:sz w:val="21"/>
          <w:szCs w:val="21"/>
        </w:rPr>
        <w:t>[</w:t>
      </w:r>
      <w:r>
        <w:rPr>
          <w:rFonts w:hint="eastAsia" w:ascii="宋体" w:hAnsi="宋体" w:eastAsia="宋体" w:cs="宋体"/>
          <w:sz w:val="21"/>
          <w:szCs w:val="21"/>
        </w:rPr>
        <w:t>包括但不限于：有关附件（若有）、澄清或修改（若有）等</w:t>
      </w:r>
      <w:r>
        <w:rPr>
          <w:rFonts w:hint="default" w:ascii="Calibri" w:hAnsi="Calibri" w:eastAsia="宋体" w:cs="Calibri"/>
          <w:sz w:val="21"/>
          <w:szCs w:val="21"/>
        </w:rPr>
        <w:t>]</w:t>
      </w:r>
      <w:r>
        <w:rPr>
          <w:rFonts w:hint="eastAsia" w:ascii="宋体" w:hAnsi="宋体" w:eastAsia="宋体" w:cs="宋体"/>
          <w:sz w:val="21"/>
          <w:szCs w:val="21"/>
        </w:rPr>
        <w:t>，并自行承担因对全部招标文件理解不正确或误解而产生的相应后果和责任。</w:t>
      </w:r>
    </w:p>
    <w:p w14:paraId="543CAE98">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w:t>
      </w:r>
      <w:r>
        <w:rPr>
          <w:rStyle w:val="8"/>
          <w:rFonts w:hint="eastAsia" w:ascii="宋体" w:hAnsi="宋体" w:eastAsia="宋体" w:cs="宋体"/>
          <w:b/>
          <w:sz w:val="21"/>
          <w:szCs w:val="21"/>
        </w:rPr>
        <w:t>承诺及声明：</w:t>
      </w:r>
    </w:p>
    <w:p w14:paraId="73EB2FB6">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2.1我方具备招标文件第一章载明的“投标人的资格要求”且符合招标文件第三章载明的“二、投标人”之规定，否则</w:t>
      </w:r>
      <w:r>
        <w:rPr>
          <w:rStyle w:val="8"/>
          <w:rFonts w:hint="eastAsia" w:ascii="宋体" w:hAnsi="宋体" w:eastAsia="宋体" w:cs="宋体"/>
          <w:b/>
          <w:sz w:val="21"/>
          <w:szCs w:val="21"/>
        </w:rPr>
        <w:t>投标无效。</w:t>
      </w:r>
    </w:p>
    <w:p w14:paraId="48AF81EC">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2.2我方提交的投标文件各组成部分的全部内容及资料是不可割离且真实、有效、准确、完整和不具有任何误导性的，否则产生不利后果由我方承担责任。</w:t>
      </w:r>
    </w:p>
    <w:p w14:paraId="630C9D5A">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2.3我方提供的标的价格不高于同期市场价格，否则产生不利后果由我方承担责任。</w:t>
      </w:r>
    </w:p>
    <w:p w14:paraId="2D9E3A86">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2.4投标保证金：若出现招标文件第三章规定的不予退还情形，同意贵单位不予退还。</w:t>
      </w:r>
    </w:p>
    <w:p w14:paraId="492E0106">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2.5投标有效期：按照招标文件第三章规定执行，并在招标文件第二章载明的期限内保持有效。</w:t>
      </w:r>
    </w:p>
    <w:p w14:paraId="4C982690">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2.6若中标，将按照招标文件、我方投标文件及政府采购合同履行责任和义务。</w:t>
      </w:r>
    </w:p>
    <w:p w14:paraId="72FFF3A6">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2.7若贵单位要求，我方同意提供与本项目投标有关的一切资料、数据或文件，并完全理解贵单位不一定要接受最低的投标报价或收到的任何投标。</w:t>
      </w:r>
    </w:p>
    <w:p w14:paraId="4EF9B58F">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2.8除招标文件另有规定外，对于贵单位按照下述联络方式发出的任何信息或通知，均视为我方已收悉前述信息或通知的全部内容：</w:t>
      </w:r>
    </w:p>
    <w:p w14:paraId="1384D8B3">
      <w:pPr>
        <w:pStyle w:val="5"/>
        <w:keepNext w:val="0"/>
        <w:keepLines w:val="0"/>
        <w:widowControl/>
        <w:suppressLineNumbers w:val="0"/>
        <w:spacing w:before="0" w:beforeAutospacing="0" w:after="150" w:afterAutospacing="0"/>
        <w:ind w:left="0" w:right="0" w:firstLine="420"/>
        <w:rPr>
          <w:rFonts w:hint="eastAsia" w:ascii="宋体" w:hAnsi="宋体" w:eastAsia="宋体" w:cs="宋体"/>
          <w:sz w:val="21"/>
          <w:szCs w:val="21"/>
          <w:u w:val="single"/>
        </w:rPr>
      </w:pPr>
      <w:r>
        <w:rPr>
          <w:rFonts w:hint="eastAsia" w:ascii="宋体" w:hAnsi="宋体" w:eastAsia="宋体" w:cs="宋体"/>
          <w:sz w:val="21"/>
          <w:szCs w:val="21"/>
        </w:rPr>
        <w:t>通信地址：</w:t>
      </w:r>
      <w:r>
        <w:rPr>
          <w:rFonts w:hint="eastAsia" w:ascii="宋体" w:hAnsi="宋体" w:eastAsia="宋体" w:cs="宋体"/>
          <w:sz w:val="21"/>
          <w:szCs w:val="21"/>
          <w:u w:val="single"/>
        </w:rPr>
        <w:t>               </w:t>
      </w:r>
    </w:p>
    <w:p w14:paraId="7598EC54">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邮编：</w:t>
      </w:r>
      <w:r>
        <w:rPr>
          <w:rFonts w:hint="eastAsia" w:ascii="宋体" w:hAnsi="宋体" w:eastAsia="宋体" w:cs="宋体"/>
          <w:sz w:val="21"/>
          <w:szCs w:val="21"/>
          <w:u w:val="single"/>
        </w:rPr>
        <w:t>                 </w:t>
      </w:r>
    </w:p>
    <w:p w14:paraId="15072110">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联系方法：</w:t>
      </w:r>
      <w:r>
        <w:rPr>
          <w:rFonts w:hint="eastAsia" w:ascii="宋体" w:hAnsi="宋体" w:eastAsia="宋体" w:cs="宋体"/>
          <w:sz w:val="21"/>
          <w:szCs w:val="21"/>
          <w:u w:val="single"/>
        </w:rPr>
        <w:t>（包括但不限于：联系人、联系电话、手机、传真、电子邮箱等）</w:t>
      </w:r>
    </w:p>
    <w:p w14:paraId="798A20FB">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w:t>
      </w:r>
    </w:p>
    <w:p w14:paraId="7946E4F0">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434E845C">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083F9254">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23A50B8B">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14:paraId="3066298D">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9AECAB8">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7544D0F">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6F44DB3">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64610CE">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89241A6">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3F18937">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0A4080D">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C64FE35">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87BD1C2">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E140D29">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14323DB">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56CFBD4">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581AC33">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D17C63C">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F40DC18">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二、投标人的资格及资信证明文件</w:t>
      </w:r>
    </w:p>
    <w:p w14:paraId="6FC9F06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90C6841">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二-1单位负责人授权书（若有）</w:t>
      </w:r>
    </w:p>
    <w:p w14:paraId="1BDCCF4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0220C15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14:paraId="24E46014">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我方的单位负责人</w:t>
      </w:r>
      <w:r>
        <w:rPr>
          <w:rFonts w:hint="eastAsia" w:ascii="宋体" w:hAnsi="宋体" w:eastAsia="宋体" w:cs="宋体"/>
          <w:sz w:val="21"/>
          <w:szCs w:val="21"/>
          <w:u w:val="single"/>
        </w:rPr>
        <w:t>（填写“单位负责人全名”）</w:t>
      </w:r>
      <w:r>
        <w:rPr>
          <w:rFonts w:hint="eastAsia" w:ascii="宋体" w:hAnsi="宋体" w:eastAsia="宋体" w:cs="宋体"/>
          <w:sz w:val="21"/>
          <w:szCs w:val="21"/>
        </w:rPr>
        <w:t>授权</w:t>
      </w:r>
      <w:r>
        <w:rPr>
          <w:rFonts w:hint="eastAsia" w:ascii="宋体" w:hAnsi="宋体" w:eastAsia="宋体" w:cs="宋体"/>
          <w:sz w:val="21"/>
          <w:szCs w:val="21"/>
          <w:u w:val="single"/>
        </w:rPr>
        <w:t>（填写“投标人代表全名”）</w:t>
      </w:r>
      <w:r>
        <w:rPr>
          <w:rFonts w:hint="eastAsia" w:ascii="宋体" w:hAnsi="宋体" w:eastAsia="宋体" w:cs="宋体"/>
          <w:sz w:val="21"/>
          <w:szCs w:val="21"/>
        </w:rPr>
        <w:t>为投标人代表，代表我方参加</w:t>
      </w:r>
      <w:r>
        <w:rPr>
          <w:rFonts w:hint="eastAsia" w:ascii="宋体" w:hAnsi="宋体" w:eastAsia="宋体" w:cs="宋体"/>
          <w:sz w:val="21"/>
          <w:szCs w:val="21"/>
          <w:u w:val="single"/>
        </w:rPr>
        <w:t>（填写“项目名称”）</w:t>
      </w:r>
      <w:r>
        <w:rPr>
          <w:rFonts w:hint="eastAsia" w:ascii="宋体" w:hAnsi="宋体" w:eastAsia="宋体" w:cs="宋体"/>
          <w:sz w:val="21"/>
          <w:szCs w:val="21"/>
        </w:rPr>
        <w:t>项目（招标编号：</w:t>
      </w:r>
      <w:r>
        <w:rPr>
          <w:rFonts w:hint="eastAsia" w:ascii="宋体" w:hAnsi="宋体" w:eastAsia="宋体" w:cs="宋体"/>
          <w:sz w:val="21"/>
          <w:szCs w:val="21"/>
          <w:u w:val="single"/>
        </w:rPr>
        <w:t>         </w:t>
      </w:r>
      <w:r>
        <w:rPr>
          <w:rFonts w:hint="eastAsia" w:ascii="宋体" w:hAnsi="宋体" w:eastAsia="宋体" w:cs="宋体"/>
          <w:sz w:val="21"/>
          <w:szCs w:val="21"/>
        </w:rPr>
        <w:t>）的投标，全权代表我方处理投标过程的一切事宜，包括但不限于：投标、参加开标、谈判、澄清、签约等。投标人代表在投标过程中所签署的一切文件和处理与之有关的一切事务，我方均予以认可并对此承担责任。</w:t>
      </w:r>
    </w:p>
    <w:p w14:paraId="28B28A25">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投标人代表无转委权。特此授权。</w:t>
      </w:r>
    </w:p>
    <w:p w14:paraId="30E1DB59">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（以下无正文）</w:t>
      </w:r>
    </w:p>
    <w:p w14:paraId="0D64C26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04158B1">
      <w:pPr>
        <w:pStyle w:val="5"/>
        <w:keepNext w:val="0"/>
        <w:keepLines w:val="0"/>
        <w:widowControl/>
        <w:suppressLineNumbers w:val="0"/>
        <w:spacing w:before="0" w:beforeAutospacing="0" w:after="150" w:afterAutospacing="0"/>
        <w:ind w:left="0" w:right="0"/>
        <w:rPr>
          <w:rFonts w:hint="eastAsia" w:ascii="宋体" w:hAnsi="宋体" w:eastAsia="宋体" w:cs="宋体"/>
          <w:sz w:val="21"/>
          <w:szCs w:val="21"/>
          <w:u w:val="single"/>
        </w:rPr>
      </w:pPr>
      <w:r>
        <w:rPr>
          <w:rFonts w:hint="eastAsia" w:ascii="宋体" w:hAnsi="宋体" w:eastAsia="宋体" w:cs="宋体"/>
          <w:sz w:val="21"/>
          <w:szCs w:val="21"/>
        </w:rPr>
        <w:t>单位负责人：</w:t>
      </w:r>
      <w:r>
        <w:rPr>
          <w:rFonts w:hint="eastAsia" w:ascii="宋体" w:hAnsi="宋体" w:eastAsia="宋体" w:cs="宋体"/>
          <w:sz w:val="21"/>
          <w:szCs w:val="21"/>
          <w:u w:val="single"/>
        </w:rPr>
        <w:t>             </w:t>
      </w:r>
    </w:p>
    <w:p w14:paraId="509AFD70">
      <w:pPr>
        <w:pStyle w:val="5"/>
        <w:keepNext w:val="0"/>
        <w:keepLines w:val="0"/>
        <w:widowControl/>
        <w:suppressLineNumbers w:val="0"/>
        <w:spacing w:before="0" w:beforeAutospacing="0" w:after="150" w:afterAutospacing="0"/>
        <w:ind w:left="0" w:right="0"/>
        <w:rPr>
          <w:rFonts w:hint="eastAsia" w:ascii="宋体" w:hAnsi="宋体" w:eastAsia="宋体" w:cs="宋体"/>
          <w:sz w:val="21"/>
          <w:szCs w:val="21"/>
          <w:u w:val="single"/>
        </w:rPr>
      </w:pPr>
      <w:r>
        <w:rPr>
          <w:rFonts w:hint="eastAsia" w:ascii="宋体" w:hAnsi="宋体" w:eastAsia="宋体" w:cs="宋体"/>
          <w:sz w:val="21"/>
          <w:szCs w:val="21"/>
        </w:rPr>
        <w:t>身份证号：</w:t>
      </w:r>
      <w:r>
        <w:rPr>
          <w:rFonts w:hint="eastAsia" w:ascii="宋体" w:hAnsi="宋体" w:eastAsia="宋体" w:cs="宋体"/>
          <w:sz w:val="21"/>
          <w:szCs w:val="21"/>
          <w:u w:val="single"/>
        </w:rPr>
        <w:t>              </w:t>
      </w:r>
    </w:p>
    <w:p w14:paraId="3EF60E6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手机：</w:t>
      </w:r>
      <w:r>
        <w:rPr>
          <w:rFonts w:hint="eastAsia" w:ascii="宋体" w:hAnsi="宋体" w:eastAsia="宋体" w:cs="宋体"/>
          <w:sz w:val="21"/>
          <w:szCs w:val="21"/>
          <w:u w:val="single"/>
        </w:rPr>
        <w:t>              </w:t>
      </w:r>
    </w:p>
    <w:p w14:paraId="3BDD1F7B">
      <w:pPr>
        <w:pStyle w:val="5"/>
        <w:keepNext w:val="0"/>
        <w:keepLines w:val="0"/>
        <w:widowControl/>
        <w:suppressLineNumbers w:val="0"/>
        <w:spacing w:before="0" w:beforeAutospacing="0" w:after="150" w:afterAutospacing="0"/>
        <w:ind w:left="0" w:right="0"/>
        <w:rPr>
          <w:rFonts w:hint="eastAsia" w:ascii="宋体" w:hAnsi="宋体" w:eastAsia="宋体" w:cs="宋体"/>
          <w:sz w:val="21"/>
          <w:szCs w:val="21"/>
          <w:u w:val="single"/>
        </w:rPr>
      </w:pPr>
      <w:r>
        <w:rPr>
          <w:rFonts w:hint="eastAsia" w:ascii="宋体" w:hAnsi="宋体" w:eastAsia="宋体" w:cs="宋体"/>
          <w:sz w:val="21"/>
          <w:szCs w:val="21"/>
        </w:rPr>
        <w:t>投标人代表：</w:t>
      </w:r>
      <w:r>
        <w:rPr>
          <w:rFonts w:hint="eastAsia" w:ascii="宋体" w:hAnsi="宋体" w:eastAsia="宋体" w:cs="宋体"/>
          <w:sz w:val="21"/>
          <w:szCs w:val="21"/>
          <w:u w:val="single"/>
        </w:rPr>
        <w:t>             </w:t>
      </w:r>
    </w:p>
    <w:p w14:paraId="11BCDC22">
      <w:pPr>
        <w:pStyle w:val="5"/>
        <w:keepNext w:val="0"/>
        <w:keepLines w:val="0"/>
        <w:widowControl/>
        <w:suppressLineNumbers w:val="0"/>
        <w:spacing w:before="0" w:beforeAutospacing="0" w:after="150" w:afterAutospacing="0"/>
        <w:ind w:left="0" w:right="0"/>
        <w:rPr>
          <w:rFonts w:hint="eastAsia" w:ascii="宋体" w:hAnsi="宋体" w:eastAsia="宋体" w:cs="宋体"/>
          <w:sz w:val="21"/>
          <w:szCs w:val="21"/>
          <w:u w:val="single"/>
        </w:rPr>
      </w:pPr>
      <w:r>
        <w:rPr>
          <w:rFonts w:hint="eastAsia" w:ascii="宋体" w:hAnsi="宋体" w:eastAsia="宋体" w:cs="宋体"/>
          <w:sz w:val="21"/>
          <w:szCs w:val="21"/>
        </w:rPr>
        <w:t>身份证号：</w:t>
      </w:r>
      <w:r>
        <w:rPr>
          <w:rFonts w:hint="eastAsia" w:ascii="宋体" w:hAnsi="宋体" w:eastAsia="宋体" w:cs="宋体"/>
          <w:sz w:val="21"/>
          <w:szCs w:val="21"/>
          <w:u w:val="single"/>
        </w:rPr>
        <w:t>              </w:t>
      </w:r>
    </w:p>
    <w:p w14:paraId="6D69671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手机：</w:t>
      </w:r>
      <w:r>
        <w:rPr>
          <w:rFonts w:hint="eastAsia" w:ascii="宋体" w:hAnsi="宋体" w:eastAsia="宋体" w:cs="宋体"/>
          <w:sz w:val="21"/>
          <w:szCs w:val="21"/>
          <w:u w:val="single"/>
        </w:rPr>
        <w:t>              </w:t>
      </w:r>
    </w:p>
    <w:p w14:paraId="75C688DA">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4BEDB0F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授权方</w:t>
      </w:r>
    </w:p>
    <w:p w14:paraId="2F90443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1D984A1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单位负责人签字或盖章：</w:t>
      </w:r>
      <w:r>
        <w:rPr>
          <w:rFonts w:hint="eastAsia" w:ascii="宋体" w:hAnsi="宋体" w:eastAsia="宋体" w:cs="宋体"/>
          <w:sz w:val="21"/>
          <w:szCs w:val="21"/>
          <w:u w:val="single"/>
        </w:rPr>
        <w:t>                   </w:t>
      </w:r>
    </w:p>
    <w:p w14:paraId="5FE07835">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46AAD39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接受授权方</w:t>
      </w:r>
    </w:p>
    <w:p w14:paraId="20ED482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33C5986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2B1B77EE">
      <w:pPr>
        <w:pStyle w:val="5"/>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签署日期：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5D13632B">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15C351C9">
      <w:pPr>
        <w:pStyle w:val="5"/>
        <w:keepNext w:val="0"/>
        <w:keepLines w:val="0"/>
        <w:widowControl/>
        <w:suppressLineNumbers w:val="0"/>
        <w:spacing w:before="0" w:beforeAutospacing="0" w:after="150" w:afterAutospacing="0"/>
        <w:ind w:left="0" w:right="0"/>
        <w:rPr>
          <w:rFonts w:hint="eastAsia" w:ascii="宋体" w:hAnsi="宋体" w:eastAsia="宋体" w:cs="宋体"/>
          <w:sz w:val="21"/>
          <w:szCs w:val="21"/>
        </w:rPr>
      </w:pPr>
    </w:p>
    <w:p w14:paraId="04F88095">
      <w:pPr>
        <w:pStyle w:val="5"/>
        <w:keepNext w:val="0"/>
        <w:keepLines w:val="0"/>
        <w:widowControl/>
        <w:suppressLineNumbers w:val="0"/>
        <w:spacing w:before="0" w:beforeAutospacing="0" w:after="150" w:afterAutospacing="0"/>
        <w:ind w:left="0" w:right="0"/>
        <w:rPr>
          <w:rFonts w:hint="eastAsia" w:ascii="宋体" w:hAnsi="宋体" w:eastAsia="宋体" w:cs="宋体"/>
          <w:sz w:val="21"/>
          <w:szCs w:val="21"/>
        </w:rPr>
      </w:pPr>
    </w:p>
    <w:p w14:paraId="10E689B0">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附：单位负责人、投标人代表的身份证正反面复印件</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8520"/>
      </w:tblGrid>
      <w:tr w14:paraId="3E1FC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520" w:type="dxa"/>
            <w:tcBorders>
              <w:tl2br w:val="nil"/>
              <w:tr2bl w:val="nil"/>
            </w:tcBorders>
            <w:shd w:val="clear" w:color="auto" w:fill="auto"/>
            <w:tcMar>
              <w:top w:w="0" w:type="dxa"/>
              <w:left w:w="105" w:type="dxa"/>
              <w:bottom w:w="0" w:type="dxa"/>
              <w:right w:w="105" w:type="dxa"/>
            </w:tcMar>
            <w:vAlign w:val="center"/>
          </w:tcPr>
          <w:p w14:paraId="780F751E">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 </w:t>
            </w:r>
          </w:p>
          <w:p w14:paraId="675CF43A">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要求：真实有效且内容完整、清晰、整洁。</w:t>
            </w:r>
          </w:p>
          <w:p w14:paraId="5B302D34">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 </w:t>
            </w:r>
          </w:p>
        </w:tc>
      </w:tr>
    </w:tbl>
    <w:p w14:paraId="2E974CA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4181D9E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1FB39BE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1、企业（银行、保险、石油石化、电力、电信等行业除外）、事业单位和社会团体法人的“单位负责人”指</w:t>
      </w:r>
      <w:r>
        <w:rPr>
          <w:rStyle w:val="8"/>
          <w:rFonts w:hint="eastAsia" w:ascii="宋体" w:hAnsi="宋体" w:eastAsia="宋体" w:cs="宋体"/>
          <w:b/>
          <w:sz w:val="21"/>
          <w:szCs w:val="21"/>
        </w:rPr>
        <w:t>法定代表人</w:t>
      </w:r>
      <w:r>
        <w:rPr>
          <w:rFonts w:hint="eastAsia" w:ascii="宋体" w:hAnsi="宋体" w:eastAsia="宋体" w:cs="宋体"/>
          <w:sz w:val="21"/>
          <w:szCs w:val="21"/>
        </w:rPr>
        <w:t>，即与实际提交的“营业执照等证明文件”载明的一致。</w:t>
      </w:r>
    </w:p>
    <w:p w14:paraId="4553B0B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w:t>
      </w:r>
    </w:p>
    <w:p w14:paraId="0645E18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3、投标人（自然人除外）：若投标人代表为单位负责人授权的委托代理人，应提供本授权书；若投标人代表为单位负责人，应在此项下提交其身份证正反面复印件，可不提供本授权书。</w:t>
      </w:r>
      <w:r>
        <w:rPr>
          <w:rFonts w:hint="eastAsia" w:ascii="宋体" w:hAnsi="宋体" w:eastAsia="宋体" w:cs="宋体"/>
          <w:sz w:val="21"/>
          <w:szCs w:val="21"/>
        </w:rPr>
        <w:br w:type="textWrapping"/>
      </w:r>
      <w:r>
        <w:rPr>
          <w:rFonts w:hint="eastAsia" w:ascii="宋体" w:hAnsi="宋体" w:eastAsia="宋体" w:cs="宋体"/>
          <w:sz w:val="21"/>
          <w:szCs w:val="21"/>
        </w:rPr>
        <w:t>4、投标人为自然人的，可不填写本授权书。</w:t>
      </w:r>
      <w:r>
        <w:rPr>
          <w:rFonts w:hint="eastAsia" w:ascii="宋体" w:hAnsi="宋体" w:eastAsia="宋体" w:cs="宋体"/>
          <w:sz w:val="21"/>
          <w:szCs w:val="21"/>
        </w:rPr>
        <w:br w:type="textWrapping"/>
      </w:r>
      <w:r>
        <w:rPr>
          <w:rFonts w:hint="eastAsia" w:ascii="宋体" w:hAnsi="宋体" w:eastAsia="宋体" w:cs="宋体"/>
          <w:sz w:val="21"/>
          <w:szCs w:val="21"/>
        </w:rPr>
        <w:t>5、纸质投标文件正本中的本授权书（若有）应为原件。</w:t>
      </w:r>
    </w:p>
    <w:p w14:paraId="7B198407">
      <w:pPr>
        <w:pStyle w:val="5"/>
        <w:keepNext w:val="0"/>
        <w:keepLines w:val="0"/>
        <w:widowControl/>
        <w:suppressLineNumbers w:val="0"/>
        <w:spacing w:before="0" w:beforeAutospacing="0" w:after="150" w:afterAutospacing="0"/>
        <w:ind w:left="0" w:right="0"/>
      </w:pPr>
    </w:p>
    <w:p w14:paraId="77C2230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16278C6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C31A655">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14:paraId="547032F2">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6BDE7B6">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5832F45">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9D8165D">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F1034A0">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604B2C7">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381B948">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3FA6624">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A32385C">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5C3D51C">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A11E594">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61F72CF">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二-2营业执照等证明文件</w:t>
      </w:r>
    </w:p>
    <w:p w14:paraId="630D892C">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4D37865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14:paraId="074CD0C8">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）投标人为法人（包括企业、事业单位和社会团体）的</w:t>
      </w:r>
    </w:p>
    <w:p w14:paraId="51C1D21E">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现附上由</w:t>
      </w:r>
      <w:r>
        <w:rPr>
          <w:rFonts w:hint="eastAsia" w:ascii="宋体" w:hAnsi="宋体" w:eastAsia="宋体" w:cs="宋体"/>
          <w:sz w:val="21"/>
          <w:szCs w:val="21"/>
          <w:u w:val="single"/>
        </w:rPr>
        <w:t>（填写“签发机关全称”）</w:t>
      </w:r>
      <w:r>
        <w:rPr>
          <w:rFonts w:hint="eastAsia" w:ascii="宋体" w:hAnsi="宋体" w:eastAsia="宋体" w:cs="宋体"/>
          <w:sz w:val="21"/>
          <w:szCs w:val="21"/>
        </w:rPr>
        <w:t>签发的我方统一社会信用代码</w:t>
      </w:r>
      <w:r>
        <w:rPr>
          <w:rFonts w:hint="eastAsia" w:ascii="宋体" w:hAnsi="宋体" w:eastAsia="宋体" w:cs="宋体"/>
          <w:sz w:val="21"/>
          <w:szCs w:val="21"/>
          <w:u w:val="single"/>
        </w:rPr>
        <w:t>（请填写法人的具体证照名称）</w:t>
      </w:r>
      <w:r>
        <w:rPr>
          <w:rFonts w:hint="eastAsia" w:ascii="宋体" w:hAnsi="宋体" w:eastAsia="宋体" w:cs="宋体"/>
          <w:sz w:val="21"/>
          <w:szCs w:val="21"/>
        </w:rPr>
        <w:t>复印件，该证明材料真实有效，否则我方负全部责任。</w:t>
      </w:r>
    </w:p>
    <w:p w14:paraId="6D8673E9">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）投标人为非法人（包括其他组织、自然人）的</w:t>
      </w:r>
    </w:p>
    <w:p w14:paraId="1D063CDC">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□现附上由</w:t>
      </w:r>
      <w:r>
        <w:rPr>
          <w:rFonts w:hint="eastAsia" w:ascii="宋体" w:hAnsi="宋体" w:eastAsia="宋体" w:cs="宋体"/>
          <w:sz w:val="21"/>
          <w:szCs w:val="21"/>
          <w:u w:val="single"/>
        </w:rPr>
        <w:t>（填写“签发机关全称”）</w:t>
      </w:r>
      <w:r>
        <w:rPr>
          <w:rFonts w:hint="eastAsia" w:ascii="宋体" w:hAnsi="宋体" w:eastAsia="宋体" w:cs="宋体"/>
          <w:sz w:val="21"/>
          <w:szCs w:val="21"/>
        </w:rPr>
        <w:t>签发的我方</w:t>
      </w:r>
      <w:r>
        <w:rPr>
          <w:rFonts w:hint="eastAsia" w:ascii="宋体" w:hAnsi="宋体" w:eastAsia="宋体" w:cs="宋体"/>
          <w:sz w:val="21"/>
          <w:szCs w:val="21"/>
          <w:u w:val="single"/>
        </w:rPr>
        <w:t>（请填写非自然人的非法人的具体证照名称）</w:t>
      </w:r>
      <w:r>
        <w:rPr>
          <w:rFonts w:hint="eastAsia" w:ascii="宋体" w:hAnsi="宋体" w:eastAsia="宋体" w:cs="宋体"/>
          <w:sz w:val="21"/>
          <w:szCs w:val="21"/>
        </w:rPr>
        <w:t>复印件，该证明材料真实有效，否则我方负全部责任。</w:t>
      </w:r>
    </w:p>
    <w:p w14:paraId="7EE2B480">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□现附上由</w:t>
      </w:r>
      <w:r>
        <w:rPr>
          <w:rFonts w:hint="eastAsia" w:ascii="宋体" w:hAnsi="宋体" w:eastAsia="宋体" w:cs="宋体"/>
          <w:sz w:val="21"/>
          <w:szCs w:val="21"/>
          <w:u w:val="single"/>
        </w:rPr>
        <w:t>（填写“签发机关全称”）</w:t>
      </w:r>
      <w:r>
        <w:rPr>
          <w:rFonts w:hint="eastAsia" w:ascii="宋体" w:hAnsi="宋体" w:eastAsia="宋体" w:cs="宋体"/>
          <w:sz w:val="21"/>
          <w:szCs w:val="21"/>
        </w:rPr>
        <w:t>签发的我方</w:t>
      </w:r>
      <w:r>
        <w:rPr>
          <w:rFonts w:hint="eastAsia" w:ascii="宋体" w:hAnsi="宋体" w:eastAsia="宋体" w:cs="宋体"/>
          <w:sz w:val="21"/>
          <w:szCs w:val="21"/>
          <w:u w:val="single"/>
        </w:rPr>
        <w:t>（请填写自然人的身份证件名称）</w:t>
      </w:r>
      <w:r>
        <w:rPr>
          <w:rFonts w:hint="eastAsia" w:ascii="宋体" w:hAnsi="宋体" w:eastAsia="宋体" w:cs="宋体"/>
          <w:sz w:val="21"/>
          <w:szCs w:val="21"/>
        </w:rPr>
        <w:t>复印件，该证明材料真实有效，否则我方负全部责任。</w:t>
      </w:r>
    </w:p>
    <w:p w14:paraId="5E80EFFC">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157948C0">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224AA47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1、请投标人按照实际情况编制填写，在相应的（）中打“√”并选择相应的“□”（若有）后，再按照本格式的要求提供相应证明材料的复印件。</w:t>
      </w:r>
    </w:p>
    <w:p w14:paraId="276E2B7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p w14:paraId="1EA1E43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3、投标人提供的相应证明材料复印件均应符合：内容完整、清晰、整洁，并由投标人加盖其单位公章。</w:t>
      </w:r>
    </w:p>
    <w:p w14:paraId="45F07B1E">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6F4502F5">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784CCB8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472AEAB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1E8858F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105C1CB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0BA1FA2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45E67BD6">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14:paraId="1ABBF129">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D8629B4">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D065B43">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二-3财务状况报告（财务报告、或资信证明、或投标担保函）</w:t>
      </w:r>
    </w:p>
    <w:p w14:paraId="58E7E99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CF94FE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14:paraId="559011C2">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）投标人提供财务报告的</w:t>
      </w:r>
    </w:p>
    <w:p w14:paraId="73F31520">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□企业适用：现附上我方</w:t>
      </w:r>
      <w:r>
        <w:rPr>
          <w:rFonts w:hint="eastAsia" w:ascii="宋体" w:hAnsi="宋体" w:eastAsia="宋体" w:cs="宋体"/>
          <w:sz w:val="21"/>
          <w:szCs w:val="21"/>
          <w:u w:val="single"/>
        </w:rPr>
        <w:t>（填写“具体的年度、或半年度、或季度”）</w:t>
      </w:r>
      <w:r>
        <w:rPr>
          <w:rFonts w:hint="eastAsia" w:ascii="宋体" w:hAnsi="宋体" w:eastAsia="宋体" w:cs="宋体"/>
          <w:sz w:val="21"/>
          <w:szCs w:val="21"/>
        </w:rPr>
        <w:t>财务报告复印件，包括资产负债表、利润表、现金流量表、所有者权益变动表（若有）及其附注（若有），上述证明材料真实有效，否则我方负全部责任。</w:t>
      </w:r>
    </w:p>
    <w:p w14:paraId="7DB68089">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□事业单位适用：现附上我方</w:t>
      </w:r>
      <w:r>
        <w:rPr>
          <w:rFonts w:hint="eastAsia" w:ascii="宋体" w:hAnsi="宋体" w:eastAsia="宋体" w:cs="宋体"/>
          <w:sz w:val="21"/>
          <w:szCs w:val="21"/>
          <w:u w:val="single"/>
        </w:rPr>
        <w:t>（填写“具体的年度、或半年度、或季度”）</w:t>
      </w:r>
      <w:r>
        <w:rPr>
          <w:rFonts w:hint="eastAsia" w:ascii="宋体" w:hAnsi="宋体" w:eastAsia="宋体" w:cs="宋体"/>
          <w:sz w:val="21"/>
          <w:szCs w:val="21"/>
        </w:rPr>
        <w:t>财务报告复印件，包括资产负债表、收入支出表（或收入费用表）、财政补助收入支出表（若有），上述证明材料真实有效，否则我方负全部责任。</w:t>
      </w:r>
    </w:p>
    <w:p w14:paraId="5CEA02F7">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□社会团体适用：现附上我方</w:t>
      </w:r>
      <w:r>
        <w:rPr>
          <w:rFonts w:hint="eastAsia" w:ascii="宋体" w:hAnsi="宋体" w:eastAsia="宋体" w:cs="宋体"/>
          <w:sz w:val="21"/>
          <w:szCs w:val="21"/>
          <w:u w:val="single"/>
        </w:rPr>
        <w:t>（填写“具体的年度、或半年度、或季度”）</w:t>
      </w:r>
      <w:r>
        <w:rPr>
          <w:rFonts w:hint="eastAsia" w:ascii="宋体" w:hAnsi="宋体" w:eastAsia="宋体" w:cs="宋体"/>
          <w:sz w:val="21"/>
          <w:szCs w:val="21"/>
        </w:rPr>
        <w:t>财务报告复印件，包括资产负债表、业务活动表、现金流量表，上述证明材料真实有效，否则我方负全部责任。</w:t>
      </w:r>
    </w:p>
    <w:p w14:paraId="67DC418D">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）投标人提供资信证明的</w:t>
      </w:r>
    </w:p>
    <w:p w14:paraId="0D8F7A43">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非自然人适用（包括企业、事业单位、社会团体和其他组织）：现附上我方开户（基本存款账户）许可证复印件及我方银行：（填写“基本存款账户的开户银行全称”）出具的资信证明复印件，上述证明材料真实有效，否则我方负全部责任。</w:t>
      </w:r>
    </w:p>
    <w:p w14:paraId="20A9F9FE">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□自然人适用：现附上我方银行：</w:t>
      </w:r>
      <w:r>
        <w:rPr>
          <w:rFonts w:hint="eastAsia" w:ascii="宋体" w:hAnsi="宋体" w:eastAsia="宋体" w:cs="宋体"/>
          <w:sz w:val="21"/>
          <w:szCs w:val="21"/>
          <w:u w:val="single"/>
        </w:rPr>
        <w:t>（填写自然人的“个人账户的开户银行全称”）</w:t>
      </w:r>
      <w:r>
        <w:rPr>
          <w:rFonts w:hint="eastAsia" w:ascii="宋体" w:hAnsi="宋体" w:eastAsia="宋体" w:cs="宋体"/>
          <w:sz w:val="21"/>
          <w:szCs w:val="21"/>
        </w:rPr>
        <w:t>出具的资信证明复印件，上述证明材料真实有效，否则我方负全部责任。</w:t>
      </w:r>
    </w:p>
    <w:p w14:paraId="73F810F6">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）投标人提供投标担保函的</w:t>
      </w:r>
    </w:p>
    <w:p w14:paraId="3969A6CC">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现附上由财政部门认可的政府采购专业担保机构：</w:t>
      </w:r>
      <w:r>
        <w:rPr>
          <w:rFonts w:hint="eastAsia" w:ascii="宋体" w:hAnsi="宋体" w:eastAsia="宋体" w:cs="宋体"/>
          <w:sz w:val="21"/>
          <w:szCs w:val="21"/>
          <w:u w:val="single"/>
        </w:rPr>
        <w:t>（填写“担保机构全称”）</w:t>
      </w:r>
      <w:r>
        <w:rPr>
          <w:rFonts w:hint="eastAsia" w:ascii="宋体" w:hAnsi="宋体" w:eastAsia="宋体" w:cs="宋体"/>
          <w:sz w:val="21"/>
          <w:szCs w:val="21"/>
        </w:rPr>
        <w:t>出具的投标担保函复印件，上述证明材料真实有效，否则我方负全部责任。</w:t>
      </w:r>
    </w:p>
    <w:p w14:paraId="3E42AFC2">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31BC21E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6D9D071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1、请投标人按照实际情况编制填写，在相应的（）中打“√”并选择相应的“□”（若有）后，再按照本格式的要求提供相应证明材料的复印件。</w:t>
      </w:r>
    </w:p>
    <w:p w14:paraId="6412B97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2、投标人提供的财务报告复印件（成立年限按照投标截止时间推算）应符合下列规定：</w:t>
      </w:r>
    </w:p>
    <w:p w14:paraId="131C134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2.1成立年限满</w:t>
      </w:r>
      <w:r>
        <w:rPr>
          <w:rFonts w:hint="default" w:ascii="Calibri" w:hAnsi="Calibri" w:eastAsia="宋体" w:cs="Calibri"/>
          <w:sz w:val="21"/>
          <w:szCs w:val="21"/>
        </w:rPr>
        <w:t>1</w:t>
      </w:r>
      <w:r>
        <w:rPr>
          <w:rFonts w:hint="eastAsia" w:ascii="宋体" w:hAnsi="宋体" w:eastAsia="宋体" w:cs="宋体"/>
          <w:sz w:val="21"/>
          <w:szCs w:val="21"/>
        </w:rPr>
        <w:t>年及以上的投标人，提供经审计的上一年度的年度财务报告。</w:t>
      </w:r>
    </w:p>
    <w:p w14:paraId="7A019CE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2.2成立年限满半年但不足</w:t>
      </w:r>
      <w:r>
        <w:rPr>
          <w:rFonts w:hint="default" w:ascii="Calibri" w:hAnsi="Calibri" w:eastAsia="宋体" w:cs="Calibri"/>
          <w:sz w:val="21"/>
          <w:szCs w:val="21"/>
        </w:rPr>
        <w:t>1</w:t>
      </w:r>
      <w:r>
        <w:rPr>
          <w:rFonts w:hint="eastAsia" w:ascii="宋体" w:hAnsi="宋体" w:eastAsia="宋体" w:cs="宋体"/>
          <w:sz w:val="21"/>
          <w:szCs w:val="21"/>
        </w:rPr>
        <w:t>年的投标人，提供该半年度中任一季度的季度财务报告或该半年度的半年度财务报告。</w:t>
      </w:r>
    </w:p>
    <w:p w14:paraId="7687AC27">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4"/>
          <w:szCs w:val="24"/>
        </w:rPr>
        <w:t>※无法按照本格式第2.1、2.2条规定提供财务报告复印件的投标人（包括但不限于：成立年限满1年及以上的投标人、成立年限满半年但不足1年的投标人、成立年限不足半年的投标人），应按照本格式的要求选择提供资信证明复印件或投标担保函复印件，其中：非自然人的投标人选择提供资信证明的，还应附上其开户（基本存款账户）许可证复印件。</w:t>
      </w:r>
    </w:p>
    <w:p w14:paraId="6F15AE8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3、“财政部门认可的政府采购专业担保机构”应符合《财政部关于开展政府采购信用担保试点工作方案》（财库</w:t>
      </w:r>
      <w:r>
        <w:rPr>
          <w:rFonts w:hint="default" w:ascii="Calibri" w:hAnsi="Calibri" w:eastAsia="宋体" w:cs="Calibri"/>
          <w:sz w:val="21"/>
          <w:szCs w:val="21"/>
        </w:rPr>
        <w:t>[2012]124</w:t>
      </w:r>
      <w:r>
        <w:rPr>
          <w:rFonts w:hint="eastAsia" w:ascii="宋体" w:hAnsi="宋体" w:eastAsia="宋体" w:cs="宋体"/>
          <w:sz w:val="21"/>
          <w:szCs w:val="21"/>
        </w:rPr>
        <w:t>号）的规定。</w:t>
      </w:r>
    </w:p>
    <w:p w14:paraId="1254A67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4、投标人提供的相应证明材料复印件均应符合：内容完整、清晰、整洁，并由投标人加盖其单位公章。</w:t>
      </w:r>
    </w:p>
    <w:p w14:paraId="00E6A8B4">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1688C468">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79BAB6C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24DB76C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009B305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756838A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66C4CCD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2B57FDC0">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14:paraId="6B1C3A3D">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72B227C">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076B128">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6DB74AD">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656B7DA">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62D80DF">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AC4420D">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8D5F3D6">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E9D54BC">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06930AB">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E662702">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F2F4EA1">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74782E8">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70753CA">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A870EFF">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F9D971B">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B458B03">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2C639E8">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A58CA95">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二</w:t>
      </w:r>
      <w:r>
        <w:rPr>
          <w:rStyle w:val="8"/>
          <w:rFonts w:hint="eastAsia" w:ascii="宋体" w:hAnsi="宋体" w:eastAsia="宋体" w:cs="宋体"/>
          <w:b/>
          <w:sz w:val="21"/>
          <w:szCs w:val="21"/>
        </w:rPr>
        <w:t>-4依法缴纳税收证明材料</w:t>
      </w:r>
    </w:p>
    <w:p w14:paraId="3320CD4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F223EE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14:paraId="154BB8DA">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1、依法缴纳税收的投标人</w:t>
      </w:r>
    </w:p>
    <w:p w14:paraId="1DB30D92">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）法人（包括企业、事业单位和社会团体）的</w:t>
      </w:r>
    </w:p>
    <w:p w14:paraId="4653788E">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现附上自</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日期间我方缴纳的</w:t>
      </w:r>
      <w:r>
        <w:rPr>
          <w:rFonts w:hint="eastAsia" w:ascii="宋体" w:hAnsi="宋体" w:eastAsia="宋体" w:cs="宋体"/>
          <w:sz w:val="21"/>
          <w:szCs w:val="21"/>
          <w:u w:val="single"/>
        </w:rPr>
        <w:t>（按照投标人实际缴纳的税种名称填写，如：增值税、所得税等）</w:t>
      </w:r>
      <w:r>
        <w:rPr>
          <w:rFonts w:hint="eastAsia" w:ascii="宋体" w:hAnsi="宋体" w:eastAsia="宋体" w:cs="宋体"/>
          <w:sz w:val="21"/>
          <w:szCs w:val="21"/>
        </w:rPr>
        <w:t>税收凭据复印件，上述证明材料真实有效，否则我方负全部责任。</w:t>
      </w:r>
    </w:p>
    <w:p w14:paraId="24B13689">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）非法人（包括其他组织、自然人）的</w:t>
      </w:r>
    </w:p>
    <w:p w14:paraId="52D1126B">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现附上自</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日期间我方缴纳的</w:t>
      </w:r>
      <w:r>
        <w:rPr>
          <w:rFonts w:hint="eastAsia" w:ascii="宋体" w:hAnsi="宋体" w:eastAsia="宋体" w:cs="宋体"/>
          <w:sz w:val="21"/>
          <w:szCs w:val="21"/>
          <w:u w:val="single"/>
        </w:rPr>
        <w:t>（按照投标人实际缴纳的税种名称填写）</w:t>
      </w:r>
      <w:r>
        <w:rPr>
          <w:rFonts w:hint="eastAsia" w:ascii="宋体" w:hAnsi="宋体" w:eastAsia="宋体" w:cs="宋体"/>
          <w:sz w:val="21"/>
          <w:szCs w:val="21"/>
        </w:rPr>
        <w:t>税收凭据复印件，上述证明材料真实有效，否则我方负全部责任。</w:t>
      </w:r>
    </w:p>
    <w:p w14:paraId="7597B512">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2、依法免税的投标人</w:t>
      </w:r>
    </w:p>
    <w:p w14:paraId="37D371E8">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）现附上我方依法免税证明材料复印件，上述证明材料真实有效，否则我方负全部责任。</w:t>
      </w:r>
    </w:p>
    <w:p w14:paraId="025DC218">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3C27588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22BA4AE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1、请投标人按照实际情况编制填写，在相应的（）中打“√”，并按照本格式的要求提供相应证明材料的复印件。</w:t>
      </w:r>
    </w:p>
    <w:p w14:paraId="1544135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2、投标人提供的税收凭据复印件应符合下列规定：</w:t>
      </w:r>
    </w:p>
    <w:p w14:paraId="07BBCF0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2.1投标截止时间前（不含投标截止时间的当月）已依法缴纳税收的投标人，提供投标截止时间前六个月（不含投标截止时间的当月）中任一月份的税收凭据复印件。</w:t>
      </w:r>
    </w:p>
    <w:p w14:paraId="3A2A219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2.2投标截止时间的当月成立且已依法缴纳税收的投标人，提供投标截止时间当月的税收凭据复印件。</w:t>
      </w:r>
    </w:p>
    <w:p w14:paraId="3F9B18E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2.3投标截止时间的当月成立但因税务机关原因导致其尚未依法缴纳税收的投标人，提供依法缴纳税收承诺书原件（格式自拟），该承诺书视同税收凭据。</w:t>
      </w:r>
    </w:p>
    <w:p w14:paraId="6A6DC46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w:t>
      </w:r>
      <w:r>
        <w:rPr>
          <w:rStyle w:val="8"/>
          <w:rFonts w:hint="eastAsia" w:ascii="宋体" w:hAnsi="宋体" w:eastAsia="宋体" w:cs="宋体"/>
          <w:b/>
          <w:sz w:val="21"/>
          <w:szCs w:val="21"/>
        </w:rPr>
        <w:t>“依法缴纳税收证明材料”</w:t>
      </w:r>
      <w:r>
        <w:rPr>
          <w:rFonts w:hint="eastAsia" w:ascii="宋体" w:hAnsi="宋体" w:eastAsia="宋体" w:cs="宋体"/>
          <w:sz w:val="21"/>
          <w:szCs w:val="21"/>
        </w:rPr>
        <w:t>有欠缴记录的，视为</w:t>
      </w:r>
      <w:r>
        <w:rPr>
          <w:rStyle w:val="8"/>
          <w:rFonts w:hint="eastAsia" w:ascii="宋体" w:hAnsi="宋体" w:eastAsia="宋体" w:cs="宋体"/>
          <w:b/>
          <w:sz w:val="21"/>
          <w:szCs w:val="21"/>
        </w:rPr>
        <w:t>未依法缴纳税收。</w:t>
      </w:r>
    </w:p>
    <w:p w14:paraId="7DD89EF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4、投标人提供的相应证明材料复印件均应符合：内容完整、清晰、整洁，并由投标人加盖其单位公章。</w:t>
      </w:r>
    </w:p>
    <w:p w14:paraId="2154162F">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5164A12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5443F3C0">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3FF496F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7D0A1407">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r>
        <w:rPr>
          <w:rStyle w:val="8"/>
          <w:rFonts w:hint="eastAsia" w:ascii="宋体" w:hAnsi="宋体" w:eastAsia="宋体" w:cs="宋体"/>
          <w:b/>
          <w:sz w:val="21"/>
          <w:szCs w:val="21"/>
        </w:rPr>
        <w:t>二-5依法缴纳社会保障资金证明材料</w:t>
      </w:r>
    </w:p>
    <w:p w14:paraId="38AE9A0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0DE0B1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14:paraId="27163A8F">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1、依法缴纳社会保障资金的投标人</w:t>
      </w:r>
    </w:p>
    <w:p w14:paraId="6EFB23B4">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）法人（包括企业、事业单位和社会团体）的</w:t>
      </w:r>
    </w:p>
    <w:p w14:paraId="629AC07F">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现附上自</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日我方缴纳的社会保险凭据（限：税务机关/社会保障资金管理机关的专用收据或社会保险缴纳清单，或社会保险的银行缴款收讫凭证）复印件，上述证明材料真实有效，否则我方负全部责任。</w:t>
      </w:r>
    </w:p>
    <w:p w14:paraId="331FD53A">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）非法人（包括其他组织、自然人）的</w:t>
      </w:r>
    </w:p>
    <w:p w14:paraId="68AA58C2">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自</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日我方缴纳的社会保险凭据（限：税务机关/社会保障资金管理机关的专用收据或社会保险缴纳清单，或社会保险的银行缴款收讫凭证）复印件，上述证明材料真实有效，否则我方负全部责任。</w:t>
      </w:r>
    </w:p>
    <w:p w14:paraId="7A14952E">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2、依法不需要缴纳社会保障资金的投标人</w:t>
      </w:r>
    </w:p>
    <w:p w14:paraId="3AF0DB29">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）现附上我方依法不需要缴纳社会保障资金证明材料复印件，上述证明材料真实有效，否则我方负全部责任。</w:t>
      </w:r>
    </w:p>
    <w:p w14:paraId="6AF173F3">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0E89E87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0020CBB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1、请投标人按照实际情况编制填写，在相应的（）中打“√”，并按照本格式的要求提供相应证明材料的复印件。</w:t>
      </w:r>
    </w:p>
    <w:p w14:paraId="0F14A89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2、投标人提供的社会保险凭据复印件应符合下列规定：</w:t>
      </w:r>
    </w:p>
    <w:p w14:paraId="1C56E96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2.1投标截止时间前（不含投标截止时间的当月）已依法缴纳社会保障资金的投标人，提供投标截止时间前六个月（不含投标截止时间的当月）中任一月份的社会保险凭据复印件。</w:t>
      </w:r>
    </w:p>
    <w:p w14:paraId="640D297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2.2投标截止时间的当月成立且已依法缴纳社会保障资金的投标人，提供投标截止时间当月的社会保险凭据复印件。</w:t>
      </w:r>
    </w:p>
    <w:p w14:paraId="01E152B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2.3投标截止时间的当月成立但因税务机关</w:t>
      </w:r>
      <w:r>
        <w:rPr>
          <w:rFonts w:hint="default" w:ascii="Calibri" w:hAnsi="Calibri" w:eastAsia="宋体" w:cs="Calibri"/>
          <w:sz w:val="21"/>
          <w:szCs w:val="21"/>
        </w:rPr>
        <w:t>/</w:t>
      </w:r>
      <w:r>
        <w:rPr>
          <w:rFonts w:hint="eastAsia" w:ascii="宋体" w:hAnsi="宋体" w:eastAsia="宋体" w:cs="宋体"/>
          <w:sz w:val="21"/>
          <w:szCs w:val="21"/>
        </w:rPr>
        <w:t>社会保障资金管理机关原因导致其尚未依法缴纳社会保障资金的投标人，提供依法缴纳社会保障资金承诺书原件（格式自拟），该承诺书视同社会保险凭据。</w:t>
      </w:r>
    </w:p>
    <w:p w14:paraId="4E472FC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w:t>
      </w:r>
      <w:r>
        <w:rPr>
          <w:rStyle w:val="8"/>
          <w:rFonts w:hint="eastAsia" w:ascii="宋体" w:hAnsi="宋体" w:eastAsia="宋体" w:cs="宋体"/>
          <w:b/>
          <w:sz w:val="21"/>
          <w:szCs w:val="21"/>
        </w:rPr>
        <w:t>“依法缴纳社会保障资金证明材料”</w:t>
      </w:r>
      <w:r>
        <w:rPr>
          <w:rFonts w:hint="eastAsia" w:ascii="宋体" w:hAnsi="宋体" w:eastAsia="宋体" w:cs="宋体"/>
          <w:sz w:val="21"/>
          <w:szCs w:val="21"/>
        </w:rPr>
        <w:t>有欠缴记录的，视为</w:t>
      </w:r>
      <w:r>
        <w:rPr>
          <w:rStyle w:val="8"/>
          <w:rFonts w:hint="eastAsia" w:ascii="宋体" w:hAnsi="宋体" w:eastAsia="宋体" w:cs="宋体"/>
          <w:b/>
          <w:sz w:val="21"/>
          <w:szCs w:val="21"/>
        </w:rPr>
        <w:t>未依法缴纳社会保障资金。</w:t>
      </w:r>
    </w:p>
    <w:p w14:paraId="6E5198F0">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4、投标人提供的相应证明材料复印件均应符合：内容完整、清晰、整洁，并由投标人加盖其单位公章。</w:t>
      </w:r>
    </w:p>
    <w:p w14:paraId="061E97C9">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39CDA40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7708CE3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0509E400">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72616732">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二</w:t>
      </w:r>
      <w:r>
        <w:rPr>
          <w:rStyle w:val="8"/>
          <w:rFonts w:hint="eastAsia" w:ascii="宋体" w:hAnsi="宋体" w:eastAsia="宋体" w:cs="宋体"/>
          <w:b/>
          <w:sz w:val="21"/>
          <w:szCs w:val="21"/>
        </w:rPr>
        <w:t>-6具备履行合同所必需设备和专业技术能力的声明函（若有）</w:t>
      </w:r>
    </w:p>
    <w:p w14:paraId="0F61B9A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1A715C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14:paraId="6052EC1D">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我方具备履行合同所必需的设备和专业技术能力，否则产生不利后果由我方承担责任。</w:t>
      </w:r>
    </w:p>
    <w:p w14:paraId="2984D001">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特此声明。</w:t>
      </w:r>
    </w:p>
    <w:p w14:paraId="59721F2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0EE6867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01468B2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1、招标文件未要求投标人提供“具备履行合同所必需的设备和专业技术能力专项证明材料”的，投标人应提供本声明函。</w:t>
      </w:r>
    </w:p>
    <w:p w14:paraId="5503242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2、招标文件要求投标人提供“具备履行合同所必需的设备和专业技术能力专项证明材料”的，投标人可不提供本声明函。</w:t>
      </w:r>
    </w:p>
    <w:p w14:paraId="3953F9F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3、纸质投标文件正本中的本声明函（若有）应为原件。</w:t>
      </w:r>
    </w:p>
    <w:p w14:paraId="39660D5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4、请投标人根据实际情况如实声明，否则</w:t>
      </w:r>
      <w:r>
        <w:rPr>
          <w:rStyle w:val="8"/>
          <w:rFonts w:hint="eastAsia" w:ascii="宋体" w:hAnsi="宋体" w:eastAsia="宋体" w:cs="宋体"/>
          <w:b/>
          <w:sz w:val="21"/>
          <w:szCs w:val="21"/>
        </w:rPr>
        <w:t>视为提供虚假材料。</w:t>
      </w:r>
    </w:p>
    <w:p w14:paraId="2AEB5522">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597ED9AF">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4959B56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50C7AB2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204AED7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3C7DE82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A0CE22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6D87E663">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14:paraId="74699AB8">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2E5AB4E">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825C0FD">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0F09BE8">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16AE2EB">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2396B0D">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9B05B7C">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9ECFA2B">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DA39EE5">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F38401C">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二</w:t>
      </w:r>
      <w:r>
        <w:rPr>
          <w:rStyle w:val="8"/>
          <w:rFonts w:hint="eastAsia" w:ascii="宋体" w:hAnsi="宋体" w:eastAsia="宋体" w:cs="宋体"/>
          <w:b/>
          <w:sz w:val="21"/>
          <w:szCs w:val="21"/>
        </w:rPr>
        <w:t>-7参加采购活动前三年内在经营活动中没有重大违法记录书面声明</w:t>
      </w:r>
    </w:p>
    <w:p w14:paraId="3577232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2240757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14:paraId="28C00B2F">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参加采购活动前三年内，我方在经营活动中没有重大违法记录，也无行贿犯罪记录，否则产生不利后果由我方承担责任。</w:t>
      </w:r>
    </w:p>
    <w:p w14:paraId="20263A1D">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特此声明。</w:t>
      </w:r>
    </w:p>
    <w:p w14:paraId="132DFF93">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15A2D60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1644E40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1、“重大违法记录”指投标人因违法经营受到刑事处罚或责令停产停业、吊销许可证或执照、较大数额罚款等行政处罚。</w:t>
      </w:r>
    </w:p>
    <w:p w14:paraId="2E84D5F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2、纸质投标文件正本中的本声明应为原件。</w:t>
      </w:r>
    </w:p>
    <w:p w14:paraId="0CECE33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3、请投标人根据实际情况如实声明，否则</w:t>
      </w:r>
      <w:r>
        <w:rPr>
          <w:rStyle w:val="8"/>
          <w:rFonts w:hint="eastAsia" w:ascii="宋体" w:hAnsi="宋体" w:eastAsia="宋体" w:cs="宋体"/>
          <w:b/>
          <w:sz w:val="21"/>
          <w:szCs w:val="21"/>
        </w:rPr>
        <w:t>视为提供虚假材料。</w:t>
      </w:r>
    </w:p>
    <w:p w14:paraId="47504EF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1EBD18A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1CE8C76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29D893F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6D05E86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4B1B038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46E68CD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2010528D">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14:paraId="399AA0AF">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3A1E8E2">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AE6ECAA">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AF4FC51">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D6FCAB1">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A7CDC7E">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847F35E">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218A2E4">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E906F7F">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355BDC3">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7FB0C05">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二</w:t>
      </w:r>
      <w:r>
        <w:rPr>
          <w:rStyle w:val="8"/>
          <w:rFonts w:hint="eastAsia" w:ascii="宋体" w:hAnsi="宋体" w:eastAsia="宋体" w:cs="宋体"/>
          <w:b/>
          <w:sz w:val="21"/>
          <w:szCs w:val="21"/>
        </w:rPr>
        <w:t>-8信用记录查询结果</w:t>
      </w:r>
    </w:p>
    <w:p w14:paraId="3DAAAE1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0E7DDE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14:paraId="0B6D2DE6">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现附上截至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r>
        <w:rPr>
          <w:rFonts w:hint="eastAsia" w:ascii="宋体" w:hAnsi="宋体" w:eastAsia="宋体" w:cs="宋体"/>
          <w:sz w:val="21"/>
          <w:szCs w:val="21"/>
          <w:u w:val="single"/>
        </w:rPr>
        <w:t>   </w:t>
      </w:r>
      <w:r>
        <w:rPr>
          <w:rFonts w:hint="eastAsia" w:ascii="宋体" w:hAnsi="宋体" w:eastAsia="宋体" w:cs="宋体"/>
          <w:sz w:val="21"/>
          <w:szCs w:val="21"/>
        </w:rPr>
        <w:t>时我方通过“信用中国”网站（</w:t>
      </w:r>
      <w:r>
        <w:rPr>
          <w:rFonts w:hint="default" w:ascii="Calibri" w:hAnsi="Calibri" w:eastAsia="宋体" w:cs="Calibri"/>
          <w:sz w:val="21"/>
          <w:szCs w:val="21"/>
        </w:rPr>
        <w:t>www.creditchina.gov.cn</w:t>
      </w:r>
      <w:r>
        <w:rPr>
          <w:rFonts w:hint="eastAsia" w:ascii="宋体" w:hAnsi="宋体" w:eastAsia="宋体" w:cs="宋体"/>
          <w:sz w:val="21"/>
          <w:szCs w:val="21"/>
        </w:rPr>
        <w:t>）获取的我方信用信息查询结果</w:t>
      </w:r>
      <w:r>
        <w:rPr>
          <w:rFonts w:hint="eastAsia" w:ascii="宋体" w:hAnsi="宋体" w:eastAsia="宋体" w:cs="宋体"/>
          <w:sz w:val="21"/>
          <w:szCs w:val="21"/>
          <w:u w:val="single"/>
        </w:rPr>
        <w:t>（填写具体份数）</w:t>
      </w:r>
      <w:r>
        <w:rPr>
          <w:rFonts w:hint="eastAsia" w:ascii="宋体" w:hAnsi="宋体" w:eastAsia="宋体" w:cs="宋体"/>
          <w:sz w:val="21"/>
          <w:szCs w:val="21"/>
        </w:rPr>
        <w:t>份、通过中国政府采购网（www.ccgp.gov.cn）获取的我方信用信息查询结果</w:t>
      </w:r>
      <w:r>
        <w:rPr>
          <w:rFonts w:hint="eastAsia" w:ascii="宋体" w:hAnsi="宋体" w:eastAsia="宋体" w:cs="宋体"/>
          <w:sz w:val="21"/>
          <w:szCs w:val="21"/>
          <w:u w:val="single"/>
        </w:rPr>
        <w:t>（填写具体份数）</w:t>
      </w:r>
      <w:r>
        <w:rPr>
          <w:rFonts w:hint="eastAsia" w:ascii="宋体" w:hAnsi="宋体" w:eastAsia="宋体" w:cs="宋体"/>
          <w:sz w:val="21"/>
          <w:szCs w:val="21"/>
        </w:rPr>
        <w:t>份，上述信用信息查询结果真实有效，否则我方负全部责任。</w:t>
      </w:r>
    </w:p>
    <w:p w14:paraId="6C7C8CDA">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7BD197E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4596C09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投标人应在招标文件要求的截止时点前分别通过“信用中国”网站（</w:t>
      </w:r>
      <w:r>
        <w:rPr>
          <w:rFonts w:hint="default" w:ascii="Calibri" w:hAnsi="Calibri" w:eastAsia="宋体" w:cs="Calibri"/>
          <w:sz w:val="21"/>
          <w:szCs w:val="21"/>
        </w:rPr>
        <w:t>www.creditchina.gov.cn</w:t>
      </w:r>
      <w:r>
        <w:rPr>
          <w:rFonts w:hint="eastAsia" w:ascii="宋体" w:hAnsi="宋体" w:eastAsia="宋体" w:cs="宋体"/>
          <w:sz w:val="21"/>
          <w:szCs w:val="21"/>
        </w:rPr>
        <w:t>）、中国政府采购网（</w:t>
      </w:r>
      <w:r>
        <w:rPr>
          <w:rFonts w:hint="default" w:ascii="Calibri" w:hAnsi="Calibri" w:eastAsia="宋体" w:cs="Calibri"/>
          <w:sz w:val="21"/>
          <w:szCs w:val="21"/>
        </w:rPr>
        <w:t>www.ccgp.gov.cn</w:t>
      </w:r>
      <w:r>
        <w:rPr>
          <w:rFonts w:hint="eastAsia" w:ascii="宋体" w:hAnsi="宋体" w:eastAsia="宋体" w:cs="宋体"/>
          <w:sz w:val="21"/>
          <w:szCs w:val="21"/>
        </w:rPr>
        <w:t>）查询并打印相应的信用记录，投标人提供的查询结果应为其通过上述网站获取的信用信息查询结果原始页面的打印件（或截图）。</w:t>
      </w:r>
    </w:p>
    <w:p w14:paraId="2E73175D">
      <w:pPr>
        <w:pStyle w:val="5"/>
        <w:keepNext w:val="0"/>
        <w:keepLines w:val="0"/>
        <w:widowControl/>
        <w:suppressLineNumbers w:val="0"/>
        <w:spacing w:before="0" w:beforeAutospacing="0" w:after="150" w:afterAutospacing="0"/>
        <w:ind w:left="0" w:right="0"/>
      </w:pPr>
    </w:p>
    <w:p w14:paraId="7CB468D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9CA77F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ACA818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6D323E1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4124351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3A6628C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682FC0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5CC7178">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r>
        <w:rPr>
          <w:rStyle w:val="8"/>
          <w:rFonts w:hint="default" w:ascii="Calibri" w:hAnsi="Calibri" w:cs="Calibri"/>
          <w:b/>
          <w:sz w:val="21"/>
          <w:szCs w:val="21"/>
        </w:rPr>
        <w:br w:type="textWrapping"/>
      </w:r>
    </w:p>
    <w:p w14:paraId="199AD655">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51E80432">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0C7795DB">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5E05DB70">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2857A62C">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10270FC6">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4016E649">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4C9C9C9F">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26B3A7F5">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1475A1BA">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4E27C223">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二-9检察机关行贿犯罪档案查询结果告知函</w:t>
      </w:r>
    </w:p>
    <w:p w14:paraId="1D76A717">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2923DCEE">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检察机关行贿犯罪档案查询结果告知函（以下简称：“告知函”）由投标人向住所地或业务发生地检察院申请查询，具体以检察院出具的为准。</w:t>
      </w:r>
    </w:p>
    <w:p w14:paraId="3006F4CF">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7B5B946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731C9FA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1、未提供行贿犯罪档案查询结果或查询结果表明投标人有行贿犯罪记录的，</w:t>
      </w:r>
      <w:r>
        <w:rPr>
          <w:rStyle w:val="8"/>
          <w:rFonts w:hint="eastAsia" w:ascii="宋体" w:hAnsi="宋体" w:eastAsia="宋体" w:cs="宋体"/>
          <w:b/>
          <w:sz w:val="21"/>
          <w:szCs w:val="21"/>
        </w:rPr>
        <w:t>投标无效。</w:t>
      </w:r>
    </w:p>
    <w:p w14:paraId="10E2FA1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2、若从检察机关指定网站下载打印或截图告知函，则告知函应为从前述指定网站获取的查询结果原始页面的打印件（或截图），否则</w:t>
      </w:r>
      <w:r>
        <w:rPr>
          <w:rStyle w:val="8"/>
          <w:rFonts w:hint="eastAsia" w:ascii="宋体" w:hAnsi="宋体" w:eastAsia="宋体" w:cs="宋体"/>
          <w:b/>
          <w:sz w:val="21"/>
          <w:szCs w:val="21"/>
        </w:rPr>
        <w:t>投标无效。</w:t>
      </w:r>
    </w:p>
    <w:p w14:paraId="6C514B0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3、告知函应在有效期内且内容完整、清晰、整洁，否则</w:t>
      </w:r>
      <w:r>
        <w:rPr>
          <w:rStyle w:val="8"/>
          <w:rFonts w:hint="eastAsia" w:ascii="宋体" w:hAnsi="宋体" w:eastAsia="宋体" w:cs="宋体"/>
          <w:b/>
          <w:sz w:val="21"/>
          <w:szCs w:val="21"/>
        </w:rPr>
        <w:t>投标无效。</w:t>
      </w:r>
    </w:p>
    <w:p w14:paraId="3E80FD5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4、有效期内的告知函复印件（含扫描件）及符合招标文件第七章规定的打印件（或截图），无论内容中是否注明“复印件无效”，</w:t>
      </w:r>
      <w:r>
        <w:rPr>
          <w:rStyle w:val="8"/>
          <w:rFonts w:hint="eastAsia" w:ascii="宋体" w:hAnsi="宋体" w:eastAsia="宋体" w:cs="宋体"/>
          <w:b/>
          <w:sz w:val="21"/>
          <w:szCs w:val="21"/>
        </w:rPr>
        <w:t>均视同有效。</w:t>
      </w:r>
    </w:p>
    <w:p w14:paraId="31577C4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5、无法获取有效期内检察机关行贿犯罪档案查询结果告知函的，应在《参加采购活动前三年内在经营活动中没有重大违法记录书面声明》中对近三年无行贿犯罪记录进行声明。</w:t>
      </w:r>
    </w:p>
    <w:p w14:paraId="6C090049">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br w:type="textWrapping"/>
      </w:r>
    </w:p>
    <w:p w14:paraId="4BDF5F2F">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4D4FB133">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29E4B7B0">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1B46F712">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2A1A0C9A">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197EB5BC">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481B3187">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769DBDD8">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1CC0377D">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545AB1CE">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4E4EE6B4">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79627E5B">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4FFA0737">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72080A1A">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1522C843">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1A52F8B3">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3FBD9630">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二-10联合体协议（若有）</w:t>
      </w:r>
    </w:p>
    <w:p w14:paraId="4CED2CA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8237A6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14:paraId="766515D5">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兹有</w:t>
      </w:r>
      <w:r>
        <w:rPr>
          <w:rFonts w:hint="eastAsia" w:ascii="宋体" w:hAnsi="宋体" w:eastAsia="宋体" w:cs="宋体"/>
          <w:sz w:val="21"/>
          <w:szCs w:val="21"/>
          <w:u w:val="single"/>
        </w:rPr>
        <w:t>（填写“联合体中各方的全称”，各方的全称之间请用“、”分割）</w:t>
      </w:r>
      <w:r>
        <w:rPr>
          <w:rFonts w:hint="eastAsia" w:ascii="宋体" w:hAnsi="宋体" w:eastAsia="宋体" w:cs="宋体"/>
          <w:sz w:val="21"/>
          <w:szCs w:val="21"/>
        </w:rPr>
        <w:t>自愿组成联合体，共同参加</w:t>
      </w:r>
      <w:r>
        <w:rPr>
          <w:rFonts w:hint="eastAsia" w:ascii="宋体" w:hAnsi="宋体" w:eastAsia="宋体" w:cs="宋体"/>
          <w:sz w:val="21"/>
          <w:szCs w:val="21"/>
          <w:u w:val="single"/>
        </w:rPr>
        <w:t>（填写“项目名称”） </w:t>
      </w:r>
      <w:r>
        <w:rPr>
          <w:rFonts w:hint="eastAsia" w:ascii="宋体" w:hAnsi="宋体" w:eastAsia="宋体" w:cs="宋体"/>
          <w:sz w:val="21"/>
          <w:szCs w:val="21"/>
        </w:rPr>
        <w:t>项目（招标编号：</w:t>
      </w:r>
      <w:r>
        <w:rPr>
          <w:rFonts w:hint="eastAsia" w:ascii="宋体" w:hAnsi="宋体" w:eastAsia="宋体" w:cs="宋体"/>
          <w:sz w:val="21"/>
          <w:szCs w:val="21"/>
          <w:u w:val="single"/>
        </w:rPr>
        <w:t>         </w:t>
      </w:r>
      <w:r>
        <w:rPr>
          <w:rFonts w:hint="eastAsia" w:ascii="宋体" w:hAnsi="宋体" w:eastAsia="宋体" w:cs="宋体"/>
          <w:sz w:val="21"/>
          <w:szCs w:val="21"/>
        </w:rPr>
        <w:t>）的投标。现就联合体参加本项目投标的有关事宜达成下列协议：</w:t>
      </w:r>
    </w:p>
    <w:p w14:paraId="35AC035D">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一、联合体各方应承担的工作和义务具体如下：</w:t>
      </w:r>
    </w:p>
    <w:p w14:paraId="1DBF289C">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1、牵头方（</w:t>
      </w:r>
      <w:r>
        <w:rPr>
          <w:rFonts w:hint="eastAsia" w:ascii="宋体" w:hAnsi="宋体" w:eastAsia="宋体" w:cs="宋体"/>
          <w:sz w:val="21"/>
          <w:szCs w:val="21"/>
          <w:u w:val="single"/>
        </w:rPr>
        <w:t>全称</w:t>
      </w:r>
      <w:r>
        <w:rPr>
          <w:rFonts w:hint="eastAsia" w:ascii="宋体" w:hAnsi="宋体" w:eastAsia="宋体" w:cs="宋体"/>
          <w:sz w:val="21"/>
          <w:szCs w:val="21"/>
        </w:rPr>
        <w:t>）：</w:t>
      </w:r>
      <w:r>
        <w:rPr>
          <w:rFonts w:hint="eastAsia" w:ascii="宋体" w:hAnsi="宋体" w:eastAsia="宋体" w:cs="宋体"/>
          <w:sz w:val="21"/>
          <w:szCs w:val="21"/>
          <w:u w:val="single"/>
        </w:rPr>
        <w:t> （填写“工作及义务的具体内容”） </w:t>
      </w:r>
      <w:r>
        <w:rPr>
          <w:rFonts w:hint="eastAsia" w:ascii="宋体" w:hAnsi="宋体" w:eastAsia="宋体" w:cs="宋体"/>
          <w:sz w:val="21"/>
          <w:szCs w:val="21"/>
        </w:rPr>
        <w:t>；</w:t>
      </w:r>
    </w:p>
    <w:p w14:paraId="19485385">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2、成员方：</w:t>
      </w:r>
    </w:p>
    <w:p w14:paraId="76282685">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2.1</w:t>
      </w:r>
      <w:r>
        <w:rPr>
          <w:rFonts w:hint="eastAsia" w:ascii="宋体" w:hAnsi="宋体" w:eastAsia="宋体" w:cs="宋体"/>
          <w:sz w:val="21"/>
          <w:szCs w:val="21"/>
          <w:u w:val="single"/>
        </w:rPr>
        <w:t>（成员一的全称）</w:t>
      </w:r>
      <w:r>
        <w:rPr>
          <w:rFonts w:hint="eastAsia" w:ascii="宋体" w:hAnsi="宋体" w:eastAsia="宋体" w:cs="宋体"/>
          <w:sz w:val="21"/>
          <w:szCs w:val="21"/>
        </w:rPr>
        <w:t>：</w:t>
      </w:r>
      <w:r>
        <w:rPr>
          <w:rFonts w:hint="eastAsia" w:ascii="宋体" w:hAnsi="宋体" w:eastAsia="宋体" w:cs="宋体"/>
          <w:sz w:val="21"/>
          <w:szCs w:val="21"/>
          <w:u w:val="single"/>
        </w:rPr>
        <w:t> （填写“工作及义务的具体内容”） </w:t>
      </w:r>
      <w:r>
        <w:rPr>
          <w:rFonts w:hint="eastAsia" w:ascii="宋体" w:hAnsi="宋体" w:eastAsia="宋体" w:cs="宋体"/>
          <w:sz w:val="21"/>
          <w:szCs w:val="21"/>
        </w:rPr>
        <w:t>；</w:t>
      </w:r>
    </w:p>
    <w:p w14:paraId="57E33039">
      <w:pPr>
        <w:pStyle w:val="5"/>
        <w:keepNext w:val="0"/>
        <w:keepLines w:val="0"/>
        <w:widowControl/>
        <w:suppressLineNumbers w:val="0"/>
        <w:spacing w:before="0" w:beforeAutospacing="0" w:after="150" w:afterAutospacing="0"/>
        <w:ind w:left="0" w:right="0" w:firstLine="420"/>
      </w:pPr>
      <w:r>
        <w:rPr>
          <w:rFonts w:hint="default" w:ascii="Calibri" w:hAnsi="Calibri" w:cs="Calibri"/>
          <w:sz w:val="21"/>
          <w:szCs w:val="21"/>
        </w:rPr>
        <w:t>……</w:t>
      </w:r>
      <w:r>
        <w:rPr>
          <w:rFonts w:hint="eastAsia" w:ascii="宋体" w:hAnsi="宋体" w:eastAsia="宋体" w:cs="宋体"/>
          <w:sz w:val="21"/>
          <w:szCs w:val="21"/>
        </w:rPr>
        <w:t>。</w:t>
      </w:r>
    </w:p>
    <w:p w14:paraId="30B3D8E9">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二、联合体各方约定：</w:t>
      </w:r>
    </w:p>
    <w:p w14:paraId="1B8F8F8D">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1、由</w:t>
      </w:r>
      <w:r>
        <w:rPr>
          <w:rFonts w:hint="eastAsia" w:ascii="宋体" w:hAnsi="宋体" w:eastAsia="宋体" w:cs="宋体"/>
          <w:sz w:val="21"/>
          <w:szCs w:val="21"/>
          <w:u w:val="single"/>
        </w:rPr>
        <w:t>（填写“牵头方的全称”）</w:t>
      </w:r>
      <w:r>
        <w:rPr>
          <w:rFonts w:hint="eastAsia" w:ascii="宋体" w:hAnsi="宋体" w:eastAsia="宋体" w:cs="宋体"/>
          <w:sz w:val="21"/>
          <w:szCs w:val="21"/>
        </w:rPr>
        <w:t>代表联合体办理参加本项目投标的有关事宜（包括但不限于：报名、派出投标人代表、提交投标文件及参加开标、谈判、澄清等），在此过程中，投标人代表签字的一切文件和处理结果，联合体均予以认可并对此承担责任。</w:t>
      </w:r>
    </w:p>
    <w:p w14:paraId="499C2B76">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2、联合体各方约定由</w:t>
      </w:r>
      <w:r>
        <w:rPr>
          <w:rFonts w:hint="eastAsia" w:ascii="宋体" w:hAnsi="宋体" w:eastAsia="宋体" w:cs="宋体"/>
          <w:sz w:val="21"/>
          <w:szCs w:val="21"/>
          <w:u w:val="single"/>
        </w:rPr>
        <w:t>（填写“牵头方的全称”）</w:t>
      </w:r>
      <w:r>
        <w:rPr>
          <w:rFonts w:hint="eastAsia" w:ascii="宋体" w:hAnsi="宋体" w:eastAsia="宋体" w:cs="宋体"/>
          <w:sz w:val="21"/>
          <w:szCs w:val="21"/>
        </w:rPr>
        <w:t>代表联合体办理投标保证金事宜。</w:t>
      </w:r>
    </w:p>
    <w:p w14:paraId="6CAA926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3、</w:t>
      </w:r>
      <w:r>
        <w:rPr>
          <w:rFonts w:hint="eastAsia" w:ascii="宋体" w:hAnsi="宋体" w:eastAsia="宋体" w:cs="宋体"/>
          <w:i w:val="0"/>
          <w:color w:val="000000"/>
          <w:spacing w:val="0"/>
          <w:sz w:val="21"/>
          <w:szCs w:val="21"/>
        </w:rPr>
        <w:t>根据福建省财政厅文件（闽财购[2008]10号）的规定，若本项目采用综合评分法，则联合体只能确定由其中一方的条件参与商务部分的评标。因此，联合体各方约定以</w:t>
      </w:r>
      <w:r>
        <w:rPr>
          <w:rFonts w:hint="eastAsia" w:ascii="宋体" w:hAnsi="宋体" w:eastAsia="宋体" w:cs="宋体"/>
          <w:i w:val="0"/>
          <w:color w:val="000000"/>
          <w:spacing w:val="0"/>
          <w:sz w:val="21"/>
          <w:szCs w:val="21"/>
          <w:u w:val="single"/>
        </w:rPr>
        <w:t>（应填写“其中一方的全称”，如：联合体确定以成员一的条件参与商务部分的评标，则填写“成员一的全称”…；否则填写“无”）</w:t>
      </w:r>
      <w:r>
        <w:rPr>
          <w:rFonts w:hint="eastAsia" w:ascii="宋体" w:hAnsi="宋体" w:eastAsia="宋体" w:cs="宋体"/>
          <w:i w:val="0"/>
          <w:color w:val="000000"/>
          <w:spacing w:val="0"/>
          <w:sz w:val="21"/>
          <w:szCs w:val="21"/>
        </w:rPr>
        <w:t>的条件参与商务部分的评标。</w:t>
      </w:r>
    </w:p>
    <w:p w14:paraId="170371AE">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三、若中标，牵头方将代表联合体与采购人就合同签订事宜进行协商；若协商一致，则联合体各方将共同与采购人签订政府采购合同，并就政府采购合同约定的事项对采购人承担连带责任。</w:t>
      </w:r>
    </w:p>
    <w:p w14:paraId="131DCDFF">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四、本协议自签署之日起生效，政府采购合同履行完毕后自动失效。</w:t>
      </w:r>
    </w:p>
    <w:p w14:paraId="62B9B6DD">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五、本协议一式</w:t>
      </w:r>
      <w:r>
        <w:rPr>
          <w:rFonts w:hint="eastAsia" w:ascii="宋体" w:hAnsi="宋体" w:eastAsia="宋体" w:cs="宋体"/>
          <w:sz w:val="21"/>
          <w:szCs w:val="21"/>
          <w:u w:val="single"/>
        </w:rPr>
        <w:t>（填写具体份数）</w:t>
      </w:r>
      <w:r>
        <w:rPr>
          <w:rFonts w:hint="eastAsia" w:ascii="宋体" w:hAnsi="宋体" w:eastAsia="宋体" w:cs="宋体"/>
          <w:sz w:val="21"/>
          <w:szCs w:val="21"/>
        </w:rPr>
        <w:t>份，联合体各方各执一份，投标文件中提交一份。</w:t>
      </w:r>
    </w:p>
    <w:p w14:paraId="0BDEF122">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（以下无正文）</w:t>
      </w:r>
    </w:p>
    <w:p w14:paraId="3359B9F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4164C6B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牵头方：</w:t>
      </w:r>
      <w:r>
        <w:rPr>
          <w:rFonts w:hint="eastAsia" w:ascii="宋体" w:hAnsi="宋体" w:eastAsia="宋体" w:cs="宋体"/>
          <w:sz w:val="21"/>
          <w:szCs w:val="21"/>
          <w:u w:val="single"/>
        </w:rPr>
        <w:t>（全称并加盖单位公章）</w:t>
      </w:r>
    </w:p>
    <w:p w14:paraId="760C9F4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法定代表人或其委托代理人：</w:t>
      </w:r>
      <w:r>
        <w:rPr>
          <w:rFonts w:hint="eastAsia" w:ascii="宋体" w:hAnsi="宋体" w:eastAsia="宋体" w:cs="宋体"/>
          <w:sz w:val="21"/>
          <w:szCs w:val="21"/>
          <w:u w:val="single"/>
        </w:rPr>
        <w:t>  （签字或盖章）  </w:t>
      </w:r>
    </w:p>
    <w:p w14:paraId="3ADC4F90">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93A7CB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成员一：</w:t>
      </w:r>
      <w:r>
        <w:rPr>
          <w:rFonts w:hint="eastAsia" w:ascii="宋体" w:hAnsi="宋体" w:eastAsia="宋体" w:cs="宋体"/>
          <w:sz w:val="21"/>
          <w:szCs w:val="21"/>
          <w:u w:val="single"/>
        </w:rPr>
        <w:t>（全称并加盖成员一的单位公章）</w:t>
      </w:r>
    </w:p>
    <w:p w14:paraId="31B2861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法定代表人或其委托代理人：</w:t>
      </w:r>
      <w:r>
        <w:rPr>
          <w:rFonts w:hint="eastAsia" w:ascii="宋体" w:hAnsi="宋体" w:eastAsia="宋体" w:cs="宋体"/>
          <w:sz w:val="21"/>
          <w:szCs w:val="21"/>
          <w:u w:val="single"/>
        </w:rPr>
        <w:t>  （签字或盖章）  </w:t>
      </w:r>
    </w:p>
    <w:p w14:paraId="2611D0C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w:t>
      </w:r>
    </w:p>
    <w:p w14:paraId="206968B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0F0BDD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成员**：</w:t>
      </w:r>
      <w:r>
        <w:rPr>
          <w:rFonts w:hint="eastAsia" w:ascii="宋体" w:hAnsi="宋体" w:eastAsia="宋体" w:cs="宋体"/>
          <w:sz w:val="21"/>
          <w:szCs w:val="21"/>
          <w:u w:val="single"/>
        </w:rPr>
        <w:t>（全称并加盖成员**的单位公章）</w:t>
      </w:r>
    </w:p>
    <w:p w14:paraId="4C8171E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法定代表人或其委托代理人：</w:t>
      </w:r>
      <w:r>
        <w:rPr>
          <w:rFonts w:hint="eastAsia" w:ascii="宋体" w:hAnsi="宋体" w:eastAsia="宋体" w:cs="宋体"/>
          <w:sz w:val="21"/>
          <w:szCs w:val="21"/>
          <w:u w:val="single"/>
        </w:rPr>
        <w:t>  （签字或盖章）  </w:t>
      </w:r>
    </w:p>
    <w:p w14:paraId="2C9CCA8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5776BA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42591E83">
      <w:pPr>
        <w:pStyle w:val="5"/>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签署日期：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587216B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03D6FB7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0CC68C8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1、招标文件接受联合体投标且投标人为联合体的，投标人应提供本协议；否则无须提供。</w:t>
      </w:r>
    </w:p>
    <w:p w14:paraId="44E0CD9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2、本协议由委托代理人签字或盖章的，应按照本章载明的格式提供“单位负责人授权书”。</w:t>
      </w:r>
    </w:p>
    <w:p w14:paraId="1512A7A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3、纸质投标文件正本中的本协议（若有）应为原件。</w:t>
      </w:r>
    </w:p>
    <w:p w14:paraId="245FD11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0FF419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4ECC118">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14:paraId="5349DC3F">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1EC009C">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4C2B594">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2832CF7">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CB89707">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6669C5D">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6906CE4">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5DBFD7C">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98EA060">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D73651B">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41BD786">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744FB85">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B32BFA1">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D690EE6">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5B86ECF">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741991F">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二-11中小企业声明函</w:t>
      </w:r>
    </w:p>
    <w:p w14:paraId="08EBC616">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（专门面向中小企业或小型、微型企业适用，若有）</w:t>
      </w:r>
    </w:p>
    <w:p w14:paraId="4B80EBC9">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14:paraId="2C396786">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本投标人郑重声明，根据《政府采购促进中小企业发展暂行办法》（财库[2011]181号）的规定，本投标人为</w:t>
      </w:r>
      <w:r>
        <w:rPr>
          <w:rFonts w:hint="eastAsia" w:ascii="宋体" w:hAnsi="宋体" w:eastAsia="宋体" w:cs="宋体"/>
          <w:sz w:val="21"/>
          <w:szCs w:val="21"/>
          <w:u w:val="single"/>
        </w:rPr>
        <w:t>（填写“中型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企业。即本投标人同时满足以下条件：</w:t>
      </w:r>
    </w:p>
    <w:p w14:paraId="2172BB4E">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1、根据《工业和信息化部、国家统计局、国家发展和改革委员会、财政部关于印发中小企业划型标准规定的通知》（工信部联企业</w:t>
      </w:r>
      <w:r>
        <w:rPr>
          <w:rFonts w:hint="default" w:ascii="Calibri" w:hAnsi="Calibri" w:eastAsia="宋体" w:cs="Calibri"/>
          <w:sz w:val="21"/>
          <w:szCs w:val="21"/>
        </w:rPr>
        <w:t>[2011]300</w:t>
      </w:r>
      <w:r>
        <w:rPr>
          <w:rFonts w:hint="eastAsia" w:ascii="宋体" w:hAnsi="宋体" w:eastAsia="宋体" w:cs="宋体"/>
          <w:sz w:val="21"/>
          <w:szCs w:val="21"/>
        </w:rPr>
        <w:t>号）规定的划分标准，本投标人为</w:t>
      </w:r>
      <w:r>
        <w:rPr>
          <w:rFonts w:hint="eastAsia" w:ascii="宋体" w:hAnsi="宋体" w:eastAsia="宋体" w:cs="宋体"/>
          <w:sz w:val="21"/>
          <w:szCs w:val="21"/>
          <w:u w:val="single"/>
        </w:rPr>
        <w:t>  （填写“中型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w:t>
      </w:r>
    </w:p>
    <w:p w14:paraId="3C828A8C">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2、本投标人参加贵单位组织的</w:t>
      </w:r>
      <w:r>
        <w:rPr>
          <w:rFonts w:hint="eastAsia" w:ascii="宋体" w:hAnsi="宋体" w:eastAsia="宋体" w:cs="宋体"/>
          <w:sz w:val="21"/>
          <w:szCs w:val="21"/>
          <w:u w:val="single"/>
        </w:rPr>
        <w:t> （填写“项目名称”） </w:t>
      </w:r>
      <w:r>
        <w:rPr>
          <w:rFonts w:hint="eastAsia" w:ascii="宋体" w:hAnsi="宋体" w:eastAsia="宋体" w:cs="宋体"/>
          <w:sz w:val="21"/>
          <w:szCs w:val="21"/>
        </w:rPr>
        <w:t>项目采购活动，其中：</w:t>
      </w:r>
    </w:p>
    <w:p w14:paraId="08C094FB">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①货物（不包括使用大型企业注册商标的货物）：</w:t>
      </w:r>
    </w:p>
    <w:p w14:paraId="739F3104">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）提供本投标人制造的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货物；或</w:t>
      </w:r>
    </w:p>
    <w:p w14:paraId="149E80EE">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）提供其他</w:t>
      </w:r>
      <w:r>
        <w:rPr>
          <w:rFonts w:hint="eastAsia" w:ascii="宋体" w:hAnsi="宋体" w:eastAsia="宋体" w:cs="宋体"/>
          <w:sz w:val="21"/>
          <w:szCs w:val="21"/>
          <w:u w:val="single"/>
        </w:rPr>
        <w:t>（填写“中型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w:t>
      </w:r>
    </w:p>
    <w:p w14:paraId="683CD641">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②工程：</w:t>
      </w:r>
    </w:p>
    <w:p w14:paraId="2BF86A81">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）由本投标人承担的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工程。</w:t>
      </w:r>
    </w:p>
    <w:p w14:paraId="4FB28915">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③服务：</w:t>
      </w:r>
    </w:p>
    <w:p w14:paraId="17735A2D">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）由本投标人提供的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服务。</w:t>
      </w:r>
    </w:p>
    <w:p w14:paraId="1147E101">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本投标人对上述声明的真实性负责。如有虚假，将依法承担相应责任。</w:t>
      </w:r>
    </w:p>
    <w:p w14:paraId="26091C22">
      <w:pPr>
        <w:pStyle w:val="5"/>
        <w:keepNext w:val="0"/>
        <w:keepLines w:val="0"/>
        <w:widowControl/>
        <w:suppressLineNumbers w:val="0"/>
        <w:spacing w:before="0" w:beforeAutospacing="0" w:after="150" w:afterAutospacing="0"/>
        <w:ind w:left="0" w:right="0" w:firstLine="420"/>
      </w:pPr>
      <w:r>
        <w:rPr>
          <w:rFonts w:hint="default" w:ascii="Calibri" w:hAnsi="Calibri" w:cs="Calibri"/>
          <w:sz w:val="21"/>
          <w:szCs w:val="21"/>
        </w:rPr>
        <w:t> </w:t>
      </w:r>
    </w:p>
    <w:p w14:paraId="53FCFB10">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38602F2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1、请投标人按照实际情况编制填写本声明函，并在相应的（）中打“√”。</w:t>
      </w:r>
    </w:p>
    <w:p w14:paraId="5EB08D9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2、投标人应认真对照《工业和信息化部、国家统计局、国家发展和改革委员会、财政部关于印发中小企业划型标准规定的通知》（工信部联企业</w:t>
      </w:r>
      <w:r>
        <w:rPr>
          <w:rFonts w:hint="default" w:ascii="Calibri" w:hAnsi="Calibri" w:eastAsia="宋体" w:cs="Calibri"/>
          <w:sz w:val="21"/>
          <w:szCs w:val="21"/>
        </w:rPr>
        <w:t>[2011]300</w:t>
      </w:r>
      <w:r>
        <w:rPr>
          <w:rFonts w:hint="eastAsia" w:ascii="宋体" w:hAnsi="宋体" w:eastAsia="宋体" w:cs="宋体"/>
          <w:sz w:val="21"/>
          <w:szCs w:val="21"/>
        </w:rPr>
        <w:t>号）规定的划分标准，并按照国家统计局现行的关于统计上大中小微型企业划分办法的有关规定准确划分企业类型。</w:t>
      </w:r>
    </w:p>
    <w:p w14:paraId="2DE6FA9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3、投标人为监狱企业的，可不填写本声明函，根据其提供的由省级以上监狱管理局、戒毒管理局（含新疆生产建设兵团）出具的属于监狱企业的证明文件进行认定，监狱企业视同小型、微型企业。</w:t>
      </w:r>
    </w:p>
    <w:p w14:paraId="7C72AA5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4、投标人为残疾人福利性单位的，可不填写本声明函，根据其提供的《残疾人福利性单位声明函》（格式附后）进行认定，残疾人福利性单位视同小型、微型企业。</w:t>
      </w:r>
    </w:p>
    <w:p w14:paraId="01E7461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5、纸质投标文件正本中的本声明函（若有）应为原件。</w:t>
      </w:r>
    </w:p>
    <w:p w14:paraId="085AECB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6、若《中小企业声明函》（包括本格式第</w:t>
      </w:r>
      <w:r>
        <w:rPr>
          <w:rFonts w:hint="default" w:ascii="Calibri" w:hAnsi="Calibri" w:eastAsia="宋体" w:cs="Calibri"/>
          <w:sz w:val="21"/>
          <w:szCs w:val="21"/>
        </w:rPr>
        <w:t>3</w:t>
      </w:r>
      <w:r>
        <w:rPr>
          <w:rFonts w:hint="eastAsia" w:ascii="宋体" w:hAnsi="宋体" w:eastAsia="宋体" w:cs="宋体"/>
          <w:sz w:val="21"/>
          <w:szCs w:val="21"/>
        </w:rPr>
        <w:t>、</w:t>
      </w:r>
      <w:r>
        <w:rPr>
          <w:rFonts w:hint="default" w:ascii="Calibri" w:hAnsi="Calibri" w:eastAsia="宋体" w:cs="Calibri"/>
          <w:sz w:val="21"/>
          <w:szCs w:val="21"/>
        </w:rPr>
        <w:t>4</w:t>
      </w:r>
      <w:r>
        <w:rPr>
          <w:rFonts w:hint="eastAsia" w:ascii="宋体" w:hAnsi="宋体" w:eastAsia="宋体" w:cs="宋体"/>
          <w:sz w:val="21"/>
          <w:szCs w:val="21"/>
        </w:rPr>
        <w:t>条规定的证明文件及声明函）内容不真实，</w:t>
      </w:r>
      <w:r>
        <w:rPr>
          <w:rStyle w:val="8"/>
          <w:rFonts w:hint="eastAsia" w:ascii="宋体" w:hAnsi="宋体" w:eastAsia="宋体" w:cs="宋体"/>
          <w:b/>
          <w:sz w:val="21"/>
          <w:szCs w:val="21"/>
        </w:rPr>
        <w:t>视为提供虚假材料。</w:t>
      </w:r>
    </w:p>
    <w:p w14:paraId="4C303AA0">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332C2DF">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2954610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28E0D03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3347823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664CB69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338CD8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235CEB6">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br w:type="textWrapping"/>
      </w:r>
      <w:r>
        <w:rPr>
          <w:rFonts w:hint="eastAsia" w:ascii="宋体" w:hAnsi="宋体" w:eastAsia="宋体" w:cs="宋体"/>
          <w:sz w:val="21"/>
          <w:szCs w:val="21"/>
        </w:rPr>
        <w:t>附：</w:t>
      </w:r>
    </w:p>
    <w:p w14:paraId="0CF35B6F">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残疾人福利性单位声明函</w:t>
      </w:r>
    </w:p>
    <w:p w14:paraId="3A077379">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（专门面向中小企业或小型、微型企业适用，若有）</w:t>
      </w:r>
    </w:p>
    <w:p w14:paraId="2F3CAD69">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14:paraId="5F9EDC86">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本投标人郑重声明，根据《财政部 民政部 中国残疾人联合会关于促进残疾人就业政府采购政策的通知》（财库[2017]141号）的规定，本投标人为符合条件的残疾人福利性单位，且本投标人参加贵单位的</w:t>
      </w:r>
      <w:r>
        <w:rPr>
          <w:rFonts w:hint="eastAsia" w:ascii="宋体" w:hAnsi="宋体" w:eastAsia="宋体" w:cs="宋体"/>
          <w:sz w:val="21"/>
          <w:szCs w:val="21"/>
          <w:u w:val="single"/>
        </w:rPr>
        <w:t>（填写“项目名称”）</w:t>
      </w:r>
      <w:r>
        <w:rPr>
          <w:rFonts w:hint="eastAsia" w:ascii="宋体" w:hAnsi="宋体" w:eastAsia="宋体" w:cs="宋体"/>
          <w:sz w:val="21"/>
          <w:szCs w:val="21"/>
        </w:rPr>
        <w:t>项目采购活动：</w:t>
      </w:r>
    </w:p>
    <w:p w14:paraId="7FB41D36">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）提供本投标人制造的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w:t>
      </w:r>
    </w:p>
    <w:p w14:paraId="56C7C855">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）由本投标人承担的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工程，</w:t>
      </w:r>
    </w:p>
    <w:p w14:paraId="7F687E63">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）由本投标人提供的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服务；或</w:t>
      </w:r>
    </w:p>
    <w:p w14:paraId="3BC64CBC">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）提供其他残疾人福利性单位制造的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货物（不包括使用非残疾人福利性单位注册商标的货物）。</w:t>
      </w:r>
    </w:p>
    <w:p w14:paraId="00C65647">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本投标人对上述声明的真实性负责。如有虚假，将依法承担相应责任。</w:t>
      </w:r>
    </w:p>
    <w:p w14:paraId="49B56E97">
      <w:pPr>
        <w:pStyle w:val="5"/>
        <w:keepNext w:val="0"/>
        <w:keepLines w:val="0"/>
        <w:widowControl/>
        <w:suppressLineNumbers w:val="0"/>
        <w:spacing w:before="0" w:beforeAutospacing="0" w:after="150" w:afterAutospacing="0"/>
        <w:ind w:left="0" w:right="0" w:firstLine="420"/>
      </w:pPr>
      <w:r>
        <w:rPr>
          <w:rFonts w:hint="default" w:ascii="Calibri" w:hAnsi="Calibri" w:cs="Calibri"/>
          <w:sz w:val="21"/>
          <w:szCs w:val="21"/>
        </w:rPr>
        <w:t> </w:t>
      </w:r>
    </w:p>
    <w:p w14:paraId="14DCE96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20FC445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1、请投标人按照实际情况编制填写本声明函，并在相应的（）中打“√”。</w:t>
      </w:r>
    </w:p>
    <w:p w14:paraId="4ED9674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2、纸质投标文件正本中的本声明函（若有）应为原件。</w:t>
      </w:r>
    </w:p>
    <w:p w14:paraId="4212C6C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3、若《残疾人福利性单位声明函》内容不真实，</w:t>
      </w:r>
      <w:r>
        <w:rPr>
          <w:rStyle w:val="8"/>
          <w:rFonts w:hint="eastAsia" w:ascii="宋体" w:hAnsi="宋体" w:eastAsia="宋体" w:cs="宋体"/>
          <w:b/>
          <w:sz w:val="21"/>
          <w:szCs w:val="21"/>
        </w:rPr>
        <w:t>视为提供虚假材料。</w:t>
      </w:r>
    </w:p>
    <w:p w14:paraId="3DBF4C1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D360075">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271D996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03AF1A3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5C3491C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58A1A04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2F9EABF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216608EF">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br w:type="textWrapping"/>
      </w:r>
      <w:r>
        <w:rPr>
          <w:rStyle w:val="8"/>
          <w:rFonts w:hint="eastAsia" w:ascii="宋体" w:hAnsi="宋体" w:eastAsia="宋体" w:cs="宋体"/>
          <w:b/>
          <w:sz w:val="21"/>
          <w:szCs w:val="21"/>
        </w:rPr>
        <w:t>二-12其他资格证明文件（若有）</w:t>
      </w:r>
    </w:p>
    <w:p w14:paraId="1E6F894E">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14:paraId="5E3FAF1C">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二</w:t>
      </w:r>
      <w:r>
        <w:rPr>
          <w:rStyle w:val="8"/>
          <w:rFonts w:hint="eastAsia" w:ascii="宋体" w:hAnsi="宋体" w:eastAsia="宋体" w:cs="宋体"/>
          <w:b/>
          <w:sz w:val="21"/>
          <w:szCs w:val="21"/>
        </w:rPr>
        <w:t>-12-①具备履行合同所必需设备和专业技术能力专项证明材料（若有）</w:t>
      </w:r>
    </w:p>
    <w:p w14:paraId="128C8F3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0F04EA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14:paraId="4E0B6377">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现附上我方具备履行合同所必需的设备和专业技术能力的专项证明材料复印件（具体附后），上述证明材料真实有效，否则我方负全部责任。</w:t>
      </w:r>
    </w:p>
    <w:p w14:paraId="625BBF65">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311A89E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2D479F2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1、招标文件要求投标人提供“具备履行合同所必需的设备和专业技术能力专项证明材料”的，投标人应按照招标文件规定在此项下提供相应证明材料复印件。</w:t>
      </w:r>
    </w:p>
    <w:p w14:paraId="329F35F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2、投标人提供的相应证明材料复印件均应符合：内容完整、清晰、整洁，并由投标人加盖其单位公章。</w:t>
      </w:r>
    </w:p>
    <w:p w14:paraId="6C148CC9">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3549E8F4">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40FD33E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04FA7D0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7F40B6C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4B54E9C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7095C2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01688A45">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14:paraId="647D417A">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DDBD5A1">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3186103">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AC64594">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CEF8AF5">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C3AB335">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2DE90B9">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B639936">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B54A7D4">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二-12-②招标文件规定的其他资格证明文件（若有）</w:t>
      </w:r>
    </w:p>
    <w:p w14:paraId="1C47E2A0">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14:paraId="6A636241">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14:paraId="4E406153">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14:paraId="414FB861">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14:paraId="4476B7F5">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除招标文件另有规定外，招标文件要求提交的除前述资格证明文件外的其他资格证明文件（若有）加盖投标人的单位公章后应在此项下提交。</w:t>
      </w:r>
    </w:p>
    <w:p w14:paraId="338954AC">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14:paraId="6627EC45">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14:paraId="50487367">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Fonts w:hint="eastAsia" w:ascii="宋体" w:hAnsi="宋体" w:eastAsia="宋体" w:cs="宋体"/>
          <w:sz w:val="21"/>
          <w:szCs w:val="21"/>
        </w:rPr>
        <w:t>三</w:t>
      </w:r>
      <w:r>
        <w:rPr>
          <w:rStyle w:val="8"/>
          <w:rFonts w:hint="eastAsia" w:ascii="宋体" w:hAnsi="宋体" w:eastAsia="宋体" w:cs="宋体"/>
          <w:b/>
          <w:sz w:val="21"/>
          <w:szCs w:val="21"/>
        </w:rPr>
        <w:t>、投标保证金</w:t>
      </w:r>
    </w:p>
    <w:p w14:paraId="5916BB7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C33ABE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6BF51A0">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14:paraId="006268A0">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EA3631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1、在此项下提交的</w:t>
      </w:r>
      <w:r>
        <w:rPr>
          <w:rStyle w:val="8"/>
          <w:rFonts w:hint="eastAsia" w:ascii="宋体" w:hAnsi="宋体" w:eastAsia="宋体" w:cs="宋体"/>
          <w:b/>
          <w:sz w:val="21"/>
          <w:szCs w:val="21"/>
        </w:rPr>
        <w:t>“投标保证金”</w:t>
      </w:r>
      <w:r>
        <w:rPr>
          <w:rFonts w:hint="eastAsia" w:ascii="宋体" w:hAnsi="宋体" w:eastAsia="宋体" w:cs="宋体"/>
          <w:sz w:val="21"/>
          <w:szCs w:val="21"/>
        </w:rPr>
        <w:t>材料可使用转账凭证复印件或从福建省政府采购网上公开信息系统中下载的有关原始页面的打印件。</w:t>
      </w:r>
    </w:p>
    <w:p w14:paraId="027B740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2、投标保证金是否已提交的认定按照招标文件第三章规定执行。</w:t>
      </w:r>
    </w:p>
    <w:p w14:paraId="47E0FD8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68B8D66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66C1561F">
      <w:pPr>
        <w:pStyle w:val="5"/>
        <w:keepNext w:val="0"/>
        <w:keepLines w:val="0"/>
        <w:widowControl/>
        <w:suppressLineNumbers w:val="0"/>
        <w:spacing w:before="0" w:beforeAutospacing="0" w:after="150" w:afterAutospacing="0"/>
        <w:ind w:left="0" w:right="0"/>
      </w:pPr>
    </w:p>
    <w:p w14:paraId="779DD6D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B863FD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0FE13923">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1E30BB03">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2B28FD30">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4708AC76">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3C3DF20D">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44AC66D2">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8"/>
          <w:szCs w:val="28"/>
        </w:rPr>
        <w:t>封面格式</w:t>
      </w:r>
    </w:p>
    <w:p w14:paraId="37216030">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2505D656">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351ECA21">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6568A426">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48"/>
          <w:szCs w:val="48"/>
        </w:rPr>
        <w:t>福建省政府采购投标文件</w:t>
      </w:r>
    </w:p>
    <w:p w14:paraId="4669ED54">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48"/>
          <w:szCs w:val="48"/>
        </w:rPr>
        <w:t>（报价部分）</w:t>
      </w:r>
    </w:p>
    <w:p w14:paraId="3986E53D">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4186C75C">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6"/>
          <w:szCs w:val="36"/>
          <w:u w:val="single"/>
        </w:rPr>
        <w:t>（填写正本或副本）</w:t>
      </w:r>
    </w:p>
    <w:p w14:paraId="243FFCE2">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113A2FAB">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项目名称：</w:t>
      </w:r>
      <w:r>
        <w:rPr>
          <w:rStyle w:val="8"/>
          <w:rFonts w:hint="eastAsia" w:ascii="宋体" w:hAnsi="宋体" w:eastAsia="宋体" w:cs="宋体"/>
          <w:b/>
          <w:sz w:val="31"/>
          <w:szCs w:val="31"/>
          <w:u w:val="single"/>
        </w:rPr>
        <w:t>（由投标人填写）</w:t>
      </w:r>
    </w:p>
    <w:p w14:paraId="053D1504">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备案编号：</w:t>
      </w:r>
      <w:r>
        <w:rPr>
          <w:rStyle w:val="8"/>
          <w:rFonts w:hint="eastAsia" w:ascii="宋体" w:hAnsi="宋体" w:eastAsia="宋体" w:cs="宋体"/>
          <w:b/>
          <w:sz w:val="31"/>
          <w:szCs w:val="31"/>
          <w:u w:val="single"/>
        </w:rPr>
        <w:t>（由投标人填写）</w:t>
      </w:r>
    </w:p>
    <w:p w14:paraId="0C66C6F6">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招标编号：</w:t>
      </w:r>
      <w:r>
        <w:rPr>
          <w:rStyle w:val="8"/>
          <w:rFonts w:hint="eastAsia" w:ascii="宋体" w:hAnsi="宋体" w:eastAsia="宋体" w:cs="宋体"/>
          <w:b/>
          <w:sz w:val="31"/>
          <w:szCs w:val="31"/>
          <w:u w:val="single"/>
        </w:rPr>
        <w:t>（由投标人填写）</w:t>
      </w:r>
    </w:p>
    <w:p w14:paraId="5C73D3A2">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所投合同包：</w:t>
      </w:r>
      <w:r>
        <w:rPr>
          <w:rStyle w:val="8"/>
          <w:rFonts w:hint="eastAsia" w:ascii="宋体" w:hAnsi="宋体" w:eastAsia="宋体" w:cs="宋体"/>
          <w:b/>
          <w:sz w:val="31"/>
          <w:szCs w:val="31"/>
          <w:u w:val="single"/>
        </w:rPr>
        <w:t>（由投标人填写）</w:t>
      </w:r>
    </w:p>
    <w:p w14:paraId="5DB6BC02">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127EC7FD">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35829D21">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1"/>
          <w:szCs w:val="31"/>
        </w:rPr>
        <w:t>投标人：</w:t>
      </w:r>
      <w:r>
        <w:rPr>
          <w:rStyle w:val="8"/>
          <w:rFonts w:hint="eastAsia" w:ascii="宋体" w:hAnsi="宋体" w:eastAsia="宋体" w:cs="宋体"/>
          <w:b/>
          <w:sz w:val="31"/>
          <w:szCs w:val="31"/>
          <w:u w:val="single"/>
        </w:rPr>
        <w:t>（填写“全称”）</w:t>
      </w:r>
    </w:p>
    <w:p w14:paraId="4114BA40">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1"/>
          <w:szCs w:val="31"/>
          <w:u w:val="single"/>
        </w:rPr>
        <w:t>（由投标人填写）</w:t>
      </w:r>
      <w:r>
        <w:rPr>
          <w:rStyle w:val="8"/>
          <w:rFonts w:hint="eastAsia" w:ascii="宋体" w:hAnsi="宋体" w:eastAsia="宋体" w:cs="宋体"/>
          <w:b/>
          <w:sz w:val="31"/>
          <w:szCs w:val="31"/>
        </w:rPr>
        <w:t>年</w:t>
      </w:r>
      <w:r>
        <w:rPr>
          <w:rStyle w:val="8"/>
          <w:rFonts w:hint="eastAsia" w:ascii="宋体" w:hAnsi="宋体" w:eastAsia="宋体" w:cs="宋体"/>
          <w:b/>
          <w:sz w:val="31"/>
          <w:szCs w:val="31"/>
          <w:u w:val="single"/>
        </w:rPr>
        <w:t>（由投标人填写）</w:t>
      </w:r>
      <w:r>
        <w:rPr>
          <w:rStyle w:val="8"/>
          <w:rFonts w:hint="eastAsia" w:ascii="宋体" w:hAnsi="宋体" w:eastAsia="宋体" w:cs="宋体"/>
          <w:b/>
          <w:sz w:val="31"/>
          <w:szCs w:val="31"/>
        </w:rPr>
        <w:t>月</w:t>
      </w:r>
    </w:p>
    <w:p w14:paraId="5419873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1A47B8A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2C84D8DA">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8"/>
          <w:szCs w:val="28"/>
        </w:rPr>
        <w:t>索引</w:t>
      </w:r>
    </w:p>
    <w:p w14:paraId="4B698AC4">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一、开标一览表</w:t>
      </w:r>
    </w:p>
    <w:p w14:paraId="65E5DA25">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二、投标分项报价表</w:t>
      </w:r>
    </w:p>
    <w:p w14:paraId="1AA46588">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三、招标文件规定的价格扣除证明材料（若有）</w:t>
      </w:r>
    </w:p>
    <w:p w14:paraId="01E68C97">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四、招标文件规定的加分证明材料（若有）</w:t>
      </w:r>
    </w:p>
    <w:p w14:paraId="78C05AC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1502CAB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36F9F3A">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14:paraId="79DD812C">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DC95341">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8C8113D">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401985A">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271056B">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1508610">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ED3B6EB">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F48E637">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A79D9D4">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87D7B83">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0CBE438">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6F8F9A3">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8447072">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BD253F0">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2EF5861">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E78B457">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1E60E65">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E78EF3D">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2DBEC34">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一、开标一览表</w:t>
      </w:r>
      <w:r>
        <w:rPr>
          <w:rFonts w:hint="eastAsia" w:ascii="宋体" w:hAnsi="宋体" w:eastAsia="宋体" w:cs="宋体"/>
          <w:sz w:val="21"/>
          <w:szCs w:val="21"/>
        </w:rPr>
        <w:t> </w:t>
      </w:r>
    </w:p>
    <w:p w14:paraId="2ABAFB1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p w14:paraId="127DEA2E">
      <w:pPr>
        <w:pStyle w:val="5"/>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货币及单位：人民币元</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220"/>
        <w:gridCol w:w="5670"/>
        <w:gridCol w:w="783"/>
        <w:gridCol w:w="847"/>
      </w:tblGrid>
      <w:tr w14:paraId="3EF3F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220" w:type="dxa"/>
            <w:tcBorders>
              <w:tl2br w:val="nil"/>
              <w:tr2bl w:val="nil"/>
            </w:tcBorders>
            <w:shd w:val="clear" w:color="auto" w:fill="auto"/>
            <w:tcMar>
              <w:top w:w="0" w:type="dxa"/>
              <w:left w:w="105" w:type="dxa"/>
              <w:bottom w:w="0" w:type="dxa"/>
              <w:right w:w="105" w:type="dxa"/>
            </w:tcMar>
            <w:vAlign w:val="center"/>
          </w:tcPr>
          <w:p w14:paraId="62BFEACF">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5670" w:type="dxa"/>
            <w:tcBorders>
              <w:tl2br w:val="nil"/>
              <w:tr2bl w:val="nil"/>
            </w:tcBorders>
            <w:shd w:val="clear" w:color="auto" w:fill="auto"/>
            <w:tcMar>
              <w:top w:w="0" w:type="dxa"/>
              <w:left w:w="105" w:type="dxa"/>
              <w:bottom w:w="0" w:type="dxa"/>
              <w:right w:w="105" w:type="dxa"/>
            </w:tcMar>
            <w:vAlign w:val="center"/>
          </w:tcPr>
          <w:p w14:paraId="11EDAC35">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投标报价</w:t>
            </w:r>
          </w:p>
        </w:tc>
        <w:tc>
          <w:tcPr>
            <w:tcW w:w="783" w:type="dxa"/>
            <w:tcBorders>
              <w:tl2br w:val="nil"/>
              <w:tr2bl w:val="nil"/>
            </w:tcBorders>
            <w:shd w:val="clear" w:color="auto" w:fill="auto"/>
            <w:tcMar>
              <w:top w:w="0" w:type="dxa"/>
              <w:left w:w="105" w:type="dxa"/>
              <w:bottom w:w="0" w:type="dxa"/>
              <w:right w:w="105" w:type="dxa"/>
            </w:tcMar>
            <w:vAlign w:val="center"/>
          </w:tcPr>
          <w:p w14:paraId="33560F74">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w:t>
            </w:r>
          </w:p>
          <w:p w14:paraId="5F46064F">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保证金</w:t>
            </w:r>
          </w:p>
        </w:tc>
        <w:tc>
          <w:tcPr>
            <w:tcW w:w="847" w:type="dxa"/>
            <w:tcBorders>
              <w:tl2br w:val="nil"/>
              <w:tr2bl w:val="nil"/>
            </w:tcBorders>
            <w:shd w:val="clear" w:color="auto" w:fill="auto"/>
            <w:tcMar>
              <w:top w:w="0" w:type="dxa"/>
              <w:left w:w="105" w:type="dxa"/>
              <w:bottom w:w="0" w:type="dxa"/>
              <w:right w:w="105" w:type="dxa"/>
            </w:tcMar>
            <w:vAlign w:val="center"/>
          </w:tcPr>
          <w:p w14:paraId="26E453E1">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r>
      <w:tr w14:paraId="341D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800" w:hRule="atLeast"/>
        </w:trPr>
        <w:tc>
          <w:tcPr>
            <w:tcW w:w="1220" w:type="dxa"/>
            <w:tcBorders>
              <w:tl2br w:val="nil"/>
              <w:tr2bl w:val="nil"/>
            </w:tcBorders>
            <w:shd w:val="clear" w:color="auto" w:fill="auto"/>
            <w:tcMar>
              <w:top w:w="0" w:type="dxa"/>
              <w:left w:w="105" w:type="dxa"/>
              <w:bottom w:w="0" w:type="dxa"/>
              <w:right w:w="105" w:type="dxa"/>
            </w:tcMar>
            <w:vAlign w:val="center"/>
          </w:tcPr>
          <w:p w14:paraId="06635117">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5670" w:type="dxa"/>
            <w:tcBorders>
              <w:tl2br w:val="nil"/>
              <w:tr2bl w:val="nil"/>
            </w:tcBorders>
            <w:shd w:val="clear" w:color="auto" w:fill="auto"/>
            <w:tcMar>
              <w:top w:w="0" w:type="dxa"/>
              <w:left w:w="105" w:type="dxa"/>
              <w:bottom w:w="0" w:type="dxa"/>
              <w:right w:w="105" w:type="dxa"/>
            </w:tcMar>
            <w:vAlign w:val="center"/>
          </w:tcPr>
          <w:p w14:paraId="1D24718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投标总价（大写金额）：</w:t>
            </w:r>
            <w:r>
              <w:rPr>
                <w:rFonts w:hint="eastAsia" w:ascii="宋体" w:hAnsi="宋体" w:eastAsia="宋体" w:cs="宋体"/>
                <w:sz w:val="21"/>
                <w:szCs w:val="21"/>
                <w:u w:val="single"/>
              </w:rPr>
              <w:t>                      </w:t>
            </w:r>
            <w:r>
              <w:rPr>
                <w:rFonts w:hint="eastAsia" w:ascii="宋体" w:hAnsi="宋体" w:eastAsia="宋体" w:cs="宋体"/>
                <w:sz w:val="21"/>
                <w:szCs w:val="21"/>
              </w:rPr>
              <w:t>。</w:t>
            </w:r>
          </w:p>
        </w:tc>
        <w:tc>
          <w:tcPr>
            <w:tcW w:w="783" w:type="dxa"/>
            <w:tcBorders>
              <w:tl2br w:val="nil"/>
              <w:tr2bl w:val="nil"/>
            </w:tcBorders>
            <w:shd w:val="clear" w:color="auto" w:fill="auto"/>
            <w:tcMar>
              <w:top w:w="0" w:type="dxa"/>
              <w:left w:w="105" w:type="dxa"/>
              <w:bottom w:w="0" w:type="dxa"/>
              <w:right w:w="105" w:type="dxa"/>
            </w:tcMar>
            <w:vAlign w:val="center"/>
          </w:tcPr>
          <w:p w14:paraId="028A65D6">
            <w:pPr>
              <w:keepNext w:val="0"/>
              <w:keepLines w:val="0"/>
              <w:widowControl/>
              <w:suppressLineNumbers w:val="0"/>
              <w:jc w:val="left"/>
            </w:pPr>
          </w:p>
        </w:tc>
        <w:tc>
          <w:tcPr>
            <w:tcW w:w="847" w:type="dxa"/>
            <w:vMerge w:val="restart"/>
            <w:tcBorders>
              <w:tl2br w:val="nil"/>
              <w:tr2bl w:val="nil"/>
            </w:tcBorders>
            <w:shd w:val="clear" w:color="auto" w:fill="auto"/>
            <w:tcMar>
              <w:top w:w="0" w:type="dxa"/>
              <w:left w:w="105" w:type="dxa"/>
              <w:bottom w:w="0" w:type="dxa"/>
              <w:right w:w="105" w:type="dxa"/>
            </w:tcMar>
            <w:vAlign w:val="center"/>
          </w:tcPr>
          <w:p w14:paraId="46C7EAD0">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a.投标报价的明细：详见《投标分项报价表》。</w:t>
            </w:r>
          </w:p>
          <w:p w14:paraId="104DD84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b.招标文件规定的价格扣除证明材料（若有）：详见报价部分。</w:t>
            </w:r>
          </w:p>
        </w:tc>
      </w:tr>
      <w:tr w14:paraId="436EF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220" w:type="dxa"/>
            <w:tcBorders>
              <w:tl2br w:val="nil"/>
              <w:tr2bl w:val="nil"/>
            </w:tcBorders>
            <w:shd w:val="clear" w:color="auto" w:fill="auto"/>
            <w:tcMar>
              <w:top w:w="0" w:type="dxa"/>
              <w:left w:w="105" w:type="dxa"/>
              <w:bottom w:w="0" w:type="dxa"/>
              <w:right w:w="105" w:type="dxa"/>
            </w:tcMar>
            <w:vAlign w:val="center"/>
          </w:tcPr>
          <w:p w14:paraId="09829F98">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5670" w:type="dxa"/>
            <w:tcBorders>
              <w:tl2br w:val="nil"/>
              <w:tr2bl w:val="nil"/>
            </w:tcBorders>
            <w:shd w:val="clear" w:color="auto" w:fill="auto"/>
            <w:tcMar>
              <w:top w:w="0" w:type="dxa"/>
              <w:left w:w="105" w:type="dxa"/>
              <w:bottom w:w="0" w:type="dxa"/>
              <w:right w:w="105" w:type="dxa"/>
            </w:tcMar>
            <w:vAlign w:val="center"/>
          </w:tcPr>
          <w:p w14:paraId="33DB7B60">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投标总价（大写金额）：</w:t>
            </w:r>
            <w:r>
              <w:rPr>
                <w:rFonts w:hint="eastAsia" w:ascii="宋体" w:hAnsi="宋体" w:eastAsia="宋体" w:cs="宋体"/>
                <w:sz w:val="21"/>
                <w:szCs w:val="21"/>
                <w:u w:val="single"/>
              </w:rPr>
              <w:t>                      </w:t>
            </w:r>
            <w:r>
              <w:rPr>
                <w:rFonts w:hint="eastAsia" w:ascii="宋体" w:hAnsi="宋体" w:eastAsia="宋体" w:cs="宋体"/>
                <w:sz w:val="21"/>
                <w:szCs w:val="21"/>
              </w:rPr>
              <w:t>。</w:t>
            </w:r>
          </w:p>
        </w:tc>
        <w:tc>
          <w:tcPr>
            <w:tcW w:w="783" w:type="dxa"/>
            <w:tcBorders>
              <w:tl2br w:val="nil"/>
              <w:tr2bl w:val="nil"/>
            </w:tcBorders>
            <w:shd w:val="clear" w:color="auto" w:fill="auto"/>
            <w:tcMar>
              <w:top w:w="0" w:type="dxa"/>
              <w:left w:w="105" w:type="dxa"/>
              <w:bottom w:w="0" w:type="dxa"/>
              <w:right w:w="105" w:type="dxa"/>
            </w:tcMar>
            <w:vAlign w:val="center"/>
          </w:tcPr>
          <w:p w14:paraId="6C50DE27">
            <w:pPr>
              <w:keepNext w:val="0"/>
              <w:keepLines w:val="0"/>
              <w:widowControl/>
              <w:suppressLineNumbers w:val="0"/>
              <w:jc w:val="left"/>
            </w:pPr>
          </w:p>
        </w:tc>
        <w:tc>
          <w:tcPr>
            <w:tcW w:w="847" w:type="dxa"/>
            <w:vMerge w:val="continue"/>
            <w:tcBorders>
              <w:tl2br w:val="nil"/>
              <w:tr2bl w:val="nil"/>
            </w:tcBorders>
            <w:shd w:val="clear" w:color="auto" w:fill="auto"/>
            <w:tcMar>
              <w:top w:w="0" w:type="dxa"/>
              <w:left w:w="105" w:type="dxa"/>
              <w:bottom w:w="0" w:type="dxa"/>
              <w:right w:w="105" w:type="dxa"/>
            </w:tcMar>
            <w:vAlign w:val="center"/>
          </w:tcPr>
          <w:p w14:paraId="7439461C">
            <w:pPr>
              <w:rPr>
                <w:rFonts w:hint="eastAsia" w:ascii="宋体"/>
                <w:sz w:val="24"/>
                <w:szCs w:val="24"/>
              </w:rPr>
            </w:pPr>
          </w:p>
        </w:tc>
      </w:tr>
    </w:tbl>
    <w:p w14:paraId="6E8B47E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6E28DA1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1、本表应按照下列规定填写：</w:t>
      </w:r>
    </w:p>
    <w:p w14:paraId="1502908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1.1投标人应按照本表格式填写所投的合同包的“投标报价”。</w:t>
      </w:r>
    </w:p>
    <w:p w14:paraId="7B4C4F2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1.2本表中列示的“合同包”应与《投标分项报价表》中列示的“合同包”保持一致，即：若本表中列示的“合同包”为“</w:t>
      </w:r>
      <w:r>
        <w:rPr>
          <w:rFonts w:hint="default" w:ascii="Calibri" w:hAnsi="Calibri" w:eastAsia="宋体" w:cs="Calibri"/>
          <w:sz w:val="21"/>
          <w:szCs w:val="21"/>
        </w:rPr>
        <w:t>1</w:t>
      </w:r>
      <w:r>
        <w:rPr>
          <w:rFonts w:hint="eastAsia" w:ascii="宋体" w:hAnsi="宋体" w:eastAsia="宋体" w:cs="宋体"/>
          <w:sz w:val="21"/>
          <w:szCs w:val="21"/>
        </w:rPr>
        <w:t>”时，《投标分项报价表》中列示的“合同包”亦应为“</w:t>
      </w:r>
      <w:r>
        <w:rPr>
          <w:rFonts w:hint="default" w:ascii="Calibri" w:hAnsi="Calibri" w:eastAsia="宋体" w:cs="Calibri"/>
          <w:sz w:val="21"/>
          <w:szCs w:val="21"/>
        </w:rPr>
        <w:t>1</w:t>
      </w:r>
      <w:r>
        <w:rPr>
          <w:rFonts w:hint="eastAsia" w:ascii="宋体" w:hAnsi="宋体" w:eastAsia="宋体" w:cs="宋体"/>
          <w:sz w:val="21"/>
          <w:szCs w:val="21"/>
        </w:rPr>
        <w:t>”，以此类推。</w:t>
      </w:r>
    </w:p>
    <w:p w14:paraId="47E730A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1.3“大写金额”指“投标报价”应用“壹、贰、叁、肆、伍、陆、柒、捌、玖、拾、佰、仟、万、亿、元、角、分、零”等进行填写。</w:t>
      </w:r>
    </w:p>
    <w:p w14:paraId="1519BF9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2、纸质投标文件正本中的本表应为原件。</w:t>
      </w:r>
    </w:p>
    <w:p w14:paraId="092929D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1F3830B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4B790E5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2A46954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020BD370">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r>
        <w:rPr>
          <w:rStyle w:val="8"/>
          <w:rFonts w:hint="eastAsia" w:ascii="宋体" w:hAnsi="宋体" w:eastAsia="宋体" w:cs="宋体"/>
          <w:b/>
          <w:sz w:val="21"/>
          <w:szCs w:val="21"/>
        </w:rPr>
        <w:t>二、投标分项报价表</w:t>
      </w:r>
    </w:p>
    <w:p w14:paraId="30E04E1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08F337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p w14:paraId="4BA4E6E3">
      <w:pPr>
        <w:pStyle w:val="5"/>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货币及单位：人民币元</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420"/>
        <w:gridCol w:w="958"/>
        <w:gridCol w:w="1556"/>
        <w:gridCol w:w="1272"/>
        <w:gridCol w:w="853"/>
        <w:gridCol w:w="989"/>
        <w:gridCol w:w="569"/>
        <w:gridCol w:w="1093"/>
        <w:gridCol w:w="810"/>
      </w:tblGrid>
      <w:tr w14:paraId="6EBB6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420" w:type="dxa"/>
            <w:tcBorders>
              <w:tl2br w:val="nil"/>
              <w:tr2bl w:val="nil"/>
            </w:tcBorders>
            <w:shd w:val="clear" w:color="auto" w:fill="auto"/>
            <w:tcMar>
              <w:top w:w="0" w:type="dxa"/>
              <w:left w:w="105" w:type="dxa"/>
              <w:bottom w:w="0" w:type="dxa"/>
              <w:right w:w="105" w:type="dxa"/>
            </w:tcMar>
            <w:vAlign w:val="center"/>
          </w:tcPr>
          <w:p w14:paraId="7CC7265D">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958" w:type="dxa"/>
            <w:tcBorders>
              <w:tl2br w:val="nil"/>
              <w:tr2bl w:val="nil"/>
            </w:tcBorders>
            <w:shd w:val="clear" w:color="auto" w:fill="auto"/>
            <w:tcMar>
              <w:top w:w="0" w:type="dxa"/>
              <w:left w:w="105" w:type="dxa"/>
              <w:bottom w:w="0" w:type="dxa"/>
              <w:right w:w="105" w:type="dxa"/>
            </w:tcMar>
            <w:vAlign w:val="center"/>
          </w:tcPr>
          <w:p w14:paraId="74F13267">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1556" w:type="dxa"/>
            <w:tcBorders>
              <w:tl2br w:val="nil"/>
              <w:tr2bl w:val="nil"/>
            </w:tcBorders>
            <w:shd w:val="clear" w:color="auto" w:fill="auto"/>
            <w:tcMar>
              <w:top w:w="0" w:type="dxa"/>
              <w:left w:w="105" w:type="dxa"/>
              <w:bottom w:w="0" w:type="dxa"/>
              <w:right w:w="105" w:type="dxa"/>
            </w:tcMar>
            <w:vAlign w:val="center"/>
          </w:tcPr>
          <w:p w14:paraId="6D245F0A">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投标标的</w:t>
            </w:r>
          </w:p>
        </w:tc>
        <w:tc>
          <w:tcPr>
            <w:tcW w:w="1272" w:type="dxa"/>
            <w:tcBorders>
              <w:tl2br w:val="nil"/>
              <w:tr2bl w:val="nil"/>
            </w:tcBorders>
            <w:shd w:val="clear" w:color="auto" w:fill="auto"/>
            <w:tcMar>
              <w:top w:w="0" w:type="dxa"/>
              <w:left w:w="105" w:type="dxa"/>
              <w:bottom w:w="0" w:type="dxa"/>
              <w:right w:w="105" w:type="dxa"/>
            </w:tcMar>
            <w:vAlign w:val="center"/>
          </w:tcPr>
          <w:p w14:paraId="2D88C99E">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规格</w:t>
            </w:r>
          </w:p>
        </w:tc>
        <w:tc>
          <w:tcPr>
            <w:tcW w:w="853" w:type="dxa"/>
            <w:tcBorders>
              <w:tl2br w:val="nil"/>
              <w:tr2bl w:val="nil"/>
            </w:tcBorders>
            <w:shd w:val="clear" w:color="auto" w:fill="auto"/>
            <w:tcMar>
              <w:top w:w="0" w:type="dxa"/>
              <w:left w:w="105" w:type="dxa"/>
              <w:bottom w:w="0" w:type="dxa"/>
              <w:right w:w="105" w:type="dxa"/>
            </w:tcMar>
            <w:vAlign w:val="center"/>
          </w:tcPr>
          <w:p w14:paraId="6AAE7EC4">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来源地</w:t>
            </w:r>
          </w:p>
        </w:tc>
        <w:tc>
          <w:tcPr>
            <w:tcW w:w="989" w:type="dxa"/>
            <w:tcBorders>
              <w:tl2br w:val="nil"/>
              <w:tr2bl w:val="nil"/>
            </w:tcBorders>
            <w:shd w:val="clear" w:color="auto" w:fill="auto"/>
            <w:tcMar>
              <w:top w:w="0" w:type="dxa"/>
              <w:left w:w="105" w:type="dxa"/>
              <w:bottom w:w="0" w:type="dxa"/>
              <w:right w:w="105" w:type="dxa"/>
            </w:tcMar>
            <w:vAlign w:val="center"/>
          </w:tcPr>
          <w:p w14:paraId="681CD3E5">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单价</w:t>
            </w:r>
          </w:p>
          <w:p w14:paraId="425FC3A1">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569" w:type="dxa"/>
            <w:tcBorders>
              <w:tl2br w:val="nil"/>
              <w:tr2bl w:val="nil"/>
            </w:tcBorders>
            <w:shd w:val="clear" w:color="auto" w:fill="auto"/>
            <w:tcMar>
              <w:top w:w="0" w:type="dxa"/>
              <w:left w:w="105" w:type="dxa"/>
              <w:bottom w:w="0" w:type="dxa"/>
              <w:right w:w="105" w:type="dxa"/>
            </w:tcMar>
            <w:vAlign w:val="center"/>
          </w:tcPr>
          <w:p w14:paraId="47D2DBD0">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数量</w:t>
            </w:r>
          </w:p>
        </w:tc>
        <w:tc>
          <w:tcPr>
            <w:tcW w:w="1093" w:type="dxa"/>
            <w:tcBorders>
              <w:tl2br w:val="nil"/>
              <w:tr2bl w:val="nil"/>
            </w:tcBorders>
            <w:shd w:val="clear" w:color="auto" w:fill="auto"/>
            <w:tcMar>
              <w:top w:w="0" w:type="dxa"/>
              <w:left w:w="105" w:type="dxa"/>
              <w:bottom w:w="0" w:type="dxa"/>
              <w:right w:w="105" w:type="dxa"/>
            </w:tcMar>
            <w:vAlign w:val="center"/>
          </w:tcPr>
          <w:p w14:paraId="3F2F238C">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总价</w:t>
            </w:r>
          </w:p>
          <w:p w14:paraId="42837ED7">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810" w:type="dxa"/>
            <w:tcBorders>
              <w:tl2br w:val="nil"/>
              <w:tr2bl w:val="nil"/>
            </w:tcBorders>
            <w:shd w:val="clear" w:color="auto" w:fill="auto"/>
            <w:tcMar>
              <w:top w:w="0" w:type="dxa"/>
              <w:left w:w="105" w:type="dxa"/>
              <w:bottom w:w="0" w:type="dxa"/>
              <w:right w:w="105" w:type="dxa"/>
            </w:tcMar>
            <w:vAlign w:val="center"/>
          </w:tcPr>
          <w:p w14:paraId="786DBDC6">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r>
      <w:tr w14:paraId="37DE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420" w:type="dxa"/>
            <w:vMerge w:val="restart"/>
            <w:tcBorders>
              <w:tl2br w:val="nil"/>
              <w:tr2bl w:val="nil"/>
            </w:tcBorders>
            <w:shd w:val="clear" w:color="auto" w:fill="auto"/>
            <w:tcMar>
              <w:top w:w="0" w:type="dxa"/>
              <w:left w:w="105" w:type="dxa"/>
              <w:bottom w:w="0" w:type="dxa"/>
              <w:right w:w="105" w:type="dxa"/>
            </w:tcMar>
            <w:vAlign w:val="center"/>
          </w:tcPr>
          <w:p w14:paraId="7AD6039A">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958" w:type="dxa"/>
            <w:tcBorders>
              <w:tl2br w:val="nil"/>
              <w:tr2bl w:val="nil"/>
            </w:tcBorders>
            <w:shd w:val="clear" w:color="auto" w:fill="auto"/>
            <w:tcMar>
              <w:top w:w="0" w:type="dxa"/>
              <w:left w:w="105" w:type="dxa"/>
              <w:bottom w:w="0" w:type="dxa"/>
              <w:right w:w="105" w:type="dxa"/>
            </w:tcMar>
            <w:vAlign w:val="center"/>
          </w:tcPr>
          <w:p w14:paraId="5F659A72">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1556" w:type="dxa"/>
            <w:tcBorders>
              <w:tl2br w:val="nil"/>
              <w:tr2bl w:val="nil"/>
            </w:tcBorders>
            <w:shd w:val="clear" w:color="auto" w:fill="auto"/>
            <w:tcMar>
              <w:top w:w="0" w:type="dxa"/>
              <w:left w:w="105" w:type="dxa"/>
              <w:bottom w:w="0" w:type="dxa"/>
              <w:right w:w="105" w:type="dxa"/>
            </w:tcMar>
            <w:vAlign w:val="top"/>
          </w:tcPr>
          <w:p w14:paraId="3698951E">
            <w:pPr>
              <w:keepNext w:val="0"/>
              <w:keepLines w:val="0"/>
              <w:widowControl/>
              <w:suppressLineNumbers w:val="0"/>
              <w:jc w:val="left"/>
            </w:pPr>
          </w:p>
        </w:tc>
        <w:tc>
          <w:tcPr>
            <w:tcW w:w="1272" w:type="dxa"/>
            <w:tcBorders>
              <w:tl2br w:val="nil"/>
              <w:tr2bl w:val="nil"/>
            </w:tcBorders>
            <w:shd w:val="clear" w:color="auto" w:fill="auto"/>
            <w:tcMar>
              <w:top w:w="0" w:type="dxa"/>
              <w:left w:w="105" w:type="dxa"/>
              <w:bottom w:w="0" w:type="dxa"/>
              <w:right w:w="105" w:type="dxa"/>
            </w:tcMar>
            <w:vAlign w:val="center"/>
          </w:tcPr>
          <w:p w14:paraId="7CE22EC0">
            <w:pPr>
              <w:keepNext w:val="0"/>
              <w:keepLines w:val="0"/>
              <w:widowControl/>
              <w:suppressLineNumbers w:val="0"/>
              <w:jc w:val="left"/>
            </w:pPr>
          </w:p>
        </w:tc>
        <w:tc>
          <w:tcPr>
            <w:tcW w:w="853" w:type="dxa"/>
            <w:tcBorders>
              <w:tl2br w:val="nil"/>
              <w:tr2bl w:val="nil"/>
            </w:tcBorders>
            <w:shd w:val="clear" w:color="auto" w:fill="auto"/>
            <w:tcMar>
              <w:top w:w="0" w:type="dxa"/>
              <w:left w:w="105" w:type="dxa"/>
              <w:bottom w:w="0" w:type="dxa"/>
              <w:right w:w="105" w:type="dxa"/>
            </w:tcMar>
            <w:vAlign w:val="top"/>
          </w:tcPr>
          <w:p w14:paraId="3462CC9A">
            <w:pPr>
              <w:keepNext w:val="0"/>
              <w:keepLines w:val="0"/>
              <w:widowControl/>
              <w:suppressLineNumbers w:val="0"/>
              <w:jc w:val="left"/>
            </w:pPr>
          </w:p>
        </w:tc>
        <w:tc>
          <w:tcPr>
            <w:tcW w:w="989" w:type="dxa"/>
            <w:tcBorders>
              <w:tl2br w:val="nil"/>
              <w:tr2bl w:val="nil"/>
            </w:tcBorders>
            <w:shd w:val="clear" w:color="auto" w:fill="auto"/>
            <w:tcMar>
              <w:top w:w="0" w:type="dxa"/>
              <w:left w:w="105" w:type="dxa"/>
              <w:bottom w:w="0" w:type="dxa"/>
              <w:right w:w="105" w:type="dxa"/>
            </w:tcMar>
            <w:vAlign w:val="top"/>
          </w:tcPr>
          <w:p w14:paraId="55A8DD7F">
            <w:pPr>
              <w:keepNext w:val="0"/>
              <w:keepLines w:val="0"/>
              <w:widowControl/>
              <w:suppressLineNumbers w:val="0"/>
              <w:jc w:val="left"/>
            </w:pPr>
          </w:p>
        </w:tc>
        <w:tc>
          <w:tcPr>
            <w:tcW w:w="569" w:type="dxa"/>
            <w:tcBorders>
              <w:tl2br w:val="nil"/>
              <w:tr2bl w:val="nil"/>
            </w:tcBorders>
            <w:shd w:val="clear" w:color="auto" w:fill="auto"/>
            <w:tcMar>
              <w:top w:w="0" w:type="dxa"/>
              <w:left w:w="105" w:type="dxa"/>
              <w:bottom w:w="0" w:type="dxa"/>
              <w:right w:w="105" w:type="dxa"/>
            </w:tcMar>
            <w:vAlign w:val="top"/>
          </w:tcPr>
          <w:p w14:paraId="371DBBA4">
            <w:pPr>
              <w:keepNext w:val="0"/>
              <w:keepLines w:val="0"/>
              <w:widowControl/>
              <w:suppressLineNumbers w:val="0"/>
              <w:jc w:val="left"/>
            </w:pPr>
          </w:p>
        </w:tc>
        <w:tc>
          <w:tcPr>
            <w:tcW w:w="1093" w:type="dxa"/>
            <w:tcBorders>
              <w:tl2br w:val="nil"/>
              <w:tr2bl w:val="nil"/>
            </w:tcBorders>
            <w:shd w:val="clear" w:color="auto" w:fill="auto"/>
            <w:tcMar>
              <w:top w:w="0" w:type="dxa"/>
              <w:left w:w="105" w:type="dxa"/>
              <w:bottom w:w="0" w:type="dxa"/>
              <w:right w:w="105" w:type="dxa"/>
            </w:tcMar>
            <w:vAlign w:val="top"/>
          </w:tcPr>
          <w:p w14:paraId="4FEC2525">
            <w:pPr>
              <w:keepNext w:val="0"/>
              <w:keepLines w:val="0"/>
              <w:widowControl/>
              <w:suppressLineNumbers w:val="0"/>
              <w:jc w:val="left"/>
            </w:pPr>
          </w:p>
        </w:tc>
        <w:tc>
          <w:tcPr>
            <w:tcW w:w="810" w:type="dxa"/>
            <w:tcBorders>
              <w:tl2br w:val="nil"/>
              <w:tr2bl w:val="nil"/>
            </w:tcBorders>
            <w:shd w:val="clear" w:color="auto" w:fill="auto"/>
            <w:tcMar>
              <w:top w:w="0" w:type="dxa"/>
              <w:left w:w="105" w:type="dxa"/>
              <w:bottom w:w="0" w:type="dxa"/>
              <w:right w:w="105" w:type="dxa"/>
            </w:tcMar>
            <w:vAlign w:val="top"/>
          </w:tcPr>
          <w:p w14:paraId="6416F0E3">
            <w:pPr>
              <w:keepNext w:val="0"/>
              <w:keepLines w:val="0"/>
              <w:widowControl/>
              <w:suppressLineNumbers w:val="0"/>
              <w:jc w:val="left"/>
            </w:pPr>
          </w:p>
        </w:tc>
      </w:tr>
      <w:tr w14:paraId="257A8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20" w:type="dxa"/>
            <w:vMerge w:val="continue"/>
            <w:tcBorders>
              <w:tl2br w:val="nil"/>
              <w:tr2bl w:val="nil"/>
            </w:tcBorders>
            <w:shd w:val="clear" w:color="auto" w:fill="auto"/>
            <w:tcMar>
              <w:top w:w="0" w:type="dxa"/>
              <w:left w:w="105" w:type="dxa"/>
              <w:bottom w:w="0" w:type="dxa"/>
              <w:right w:w="105" w:type="dxa"/>
            </w:tcMar>
            <w:vAlign w:val="center"/>
          </w:tcPr>
          <w:p w14:paraId="296BF3C1">
            <w:pPr>
              <w:rPr>
                <w:rFonts w:hint="eastAsia" w:ascii="宋体"/>
                <w:sz w:val="24"/>
                <w:szCs w:val="24"/>
              </w:rPr>
            </w:pPr>
          </w:p>
        </w:tc>
        <w:tc>
          <w:tcPr>
            <w:tcW w:w="958" w:type="dxa"/>
            <w:tcBorders>
              <w:tl2br w:val="nil"/>
              <w:tr2bl w:val="nil"/>
            </w:tcBorders>
            <w:shd w:val="clear" w:color="auto" w:fill="auto"/>
            <w:tcMar>
              <w:top w:w="0" w:type="dxa"/>
              <w:left w:w="105" w:type="dxa"/>
              <w:bottom w:w="0" w:type="dxa"/>
              <w:right w:w="105" w:type="dxa"/>
            </w:tcMar>
            <w:vAlign w:val="center"/>
          </w:tcPr>
          <w:p w14:paraId="2D16672C">
            <w:pPr>
              <w:keepNext w:val="0"/>
              <w:keepLines w:val="0"/>
              <w:widowControl/>
              <w:suppressLineNumbers w:val="0"/>
              <w:jc w:val="left"/>
            </w:pPr>
          </w:p>
        </w:tc>
        <w:tc>
          <w:tcPr>
            <w:tcW w:w="1556" w:type="dxa"/>
            <w:tcBorders>
              <w:tl2br w:val="nil"/>
              <w:tr2bl w:val="nil"/>
            </w:tcBorders>
            <w:shd w:val="clear" w:color="auto" w:fill="auto"/>
            <w:tcMar>
              <w:top w:w="0" w:type="dxa"/>
              <w:left w:w="105" w:type="dxa"/>
              <w:bottom w:w="0" w:type="dxa"/>
              <w:right w:w="105" w:type="dxa"/>
            </w:tcMar>
            <w:vAlign w:val="top"/>
          </w:tcPr>
          <w:p w14:paraId="1C7CABE7">
            <w:pPr>
              <w:keepNext w:val="0"/>
              <w:keepLines w:val="0"/>
              <w:widowControl/>
              <w:suppressLineNumbers w:val="0"/>
              <w:jc w:val="left"/>
            </w:pPr>
          </w:p>
        </w:tc>
        <w:tc>
          <w:tcPr>
            <w:tcW w:w="1272" w:type="dxa"/>
            <w:tcBorders>
              <w:tl2br w:val="nil"/>
              <w:tr2bl w:val="nil"/>
            </w:tcBorders>
            <w:shd w:val="clear" w:color="auto" w:fill="auto"/>
            <w:tcMar>
              <w:top w:w="0" w:type="dxa"/>
              <w:left w:w="105" w:type="dxa"/>
              <w:bottom w:w="0" w:type="dxa"/>
              <w:right w:w="105" w:type="dxa"/>
            </w:tcMar>
            <w:vAlign w:val="center"/>
          </w:tcPr>
          <w:p w14:paraId="0FD6B444">
            <w:pPr>
              <w:keepNext w:val="0"/>
              <w:keepLines w:val="0"/>
              <w:widowControl/>
              <w:suppressLineNumbers w:val="0"/>
              <w:jc w:val="left"/>
            </w:pPr>
          </w:p>
        </w:tc>
        <w:tc>
          <w:tcPr>
            <w:tcW w:w="853" w:type="dxa"/>
            <w:tcBorders>
              <w:tl2br w:val="nil"/>
              <w:tr2bl w:val="nil"/>
            </w:tcBorders>
            <w:shd w:val="clear" w:color="auto" w:fill="auto"/>
            <w:tcMar>
              <w:top w:w="0" w:type="dxa"/>
              <w:left w:w="105" w:type="dxa"/>
              <w:bottom w:w="0" w:type="dxa"/>
              <w:right w:w="105" w:type="dxa"/>
            </w:tcMar>
            <w:vAlign w:val="top"/>
          </w:tcPr>
          <w:p w14:paraId="4101249C">
            <w:pPr>
              <w:keepNext w:val="0"/>
              <w:keepLines w:val="0"/>
              <w:widowControl/>
              <w:suppressLineNumbers w:val="0"/>
              <w:jc w:val="left"/>
            </w:pPr>
          </w:p>
        </w:tc>
        <w:tc>
          <w:tcPr>
            <w:tcW w:w="989" w:type="dxa"/>
            <w:tcBorders>
              <w:tl2br w:val="nil"/>
              <w:tr2bl w:val="nil"/>
            </w:tcBorders>
            <w:shd w:val="clear" w:color="auto" w:fill="auto"/>
            <w:tcMar>
              <w:top w:w="0" w:type="dxa"/>
              <w:left w:w="105" w:type="dxa"/>
              <w:bottom w:w="0" w:type="dxa"/>
              <w:right w:w="105" w:type="dxa"/>
            </w:tcMar>
            <w:vAlign w:val="top"/>
          </w:tcPr>
          <w:p w14:paraId="03ACF1C9">
            <w:pPr>
              <w:keepNext w:val="0"/>
              <w:keepLines w:val="0"/>
              <w:widowControl/>
              <w:suppressLineNumbers w:val="0"/>
              <w:jc w:val="left"/>
            </w:pPr>
          </w:p>
        </w:tc>
        <w:tc>
          <w:tcPr>
            <w:tcW w:w="569" w:type="dxa"/>
            <w:tcBorders>
              <w:tl2br w:val="nil"/>
              <w:tr2bl w:val="nil"/>
            </w:tcBorders>
            <w:shd w:val="clear" w:color="auto" w:fill="auto"/>
            <w:tcMar>
              <w:top w:w="0" w:type="dxa"/>
              <w:left w:w="105" w:type="dxa"/>
              <w:bottom w:w="0" w:type="dxa"/>
              <w:right w:w="105" w:type="dxa"/>
            </w:tcMar>
            <w:vAlign w:val="top"/>
          </w:tcPr>
          <w:p w14:paraId="1C186094">
            <w:pPr>
              <w:keepNext w:val="0"/>
              <w:keepLines w:val="0"/>
              <w:widowControl/>
              <w:suppressLineNumbers w:val="0"/>
              <w:jc w:val="left"/>
            </w:pPr>
          </w:p>
        </w:tc>
        <w:tc>
          <w:tcPr>
            <w:tcW w:w="1093" w:type="dxa"/>
            <w:tcBorders>
              <w:tl2br w:val="nil"/>
              <w:tr2bl w:val="nil"/>
            </w:tcBorders>
            <w:shd w:val="clear" w:color="auto" w:fill="auto"/>
            <w:tcMar>
              <w:top w:w="0" w:type="dxa"/>
              <w:left w:w="105" w:type="dxa"/>
              <w:bottom w:w="0" w:type="dxa"/>
              <w:right w:w="105" w:type="dxa"/>
            </w:tcMar>
            <w:vAlign w:val="top"/>
          </w:tcPr>
          <w:p w14:paraId="30323971">
            <w:pPr>
              <w:keepNext w:val="0"/>
              <w:keepLines w:val="0"/>
              <w:widowControl/>
              <w:suppressLineNumbers w:val="0"/>
              <w:jc w:val="left"/>
            </w:pPr>
          </w:p>
        </w:tc>
        <w:tc>
          <w:tcPr>
            <w:tcW w:w="810" w:type="dxa"/>
            <w:tcBorders>
              <w:tl2br w:val="nil"/>
              <w:tr2bl w:val="nil"/>
            </w:tcBorders>
            <w:shd w:val="clear" w:color="auto" w:fill="auto"/>
            <w:tcMar>
              <w:top w:w="0" w:type="dxa"/>
              <w:left w:w="105" w:type="dxa"/>
              <w:bottom w:w="0" w:type="dxa"/>
              <w:right w:w="105" w:type="dxa"/>
            </w:tcMar>
            <w:vAlign w:val="top"/>
          </w:tcPr>
          <w:p w14:paraId="0FDF9FC9">
            <w:pPr>
              <w:keepNext w:val="0"/>
              <w:keepLines w:val="0"/>
              <w:widowControl/>
              <w:suppressLineNumbers w:val="0"/>
              <w:jc w:val="left"/>
            </w:pPr>
          </w:p>
        </w:tc>
      </w:tr>
      <w:tr w14:paraId="4EA26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420" w:type="dxa"/>
            <w:tcBorders>
              <w:tl2br w:val="nil"/>
              <w:tr2bl w:val="nil"/>
            </w:tcBorders>
            <w:shd w:val="clear" w:color="auto" w:fill="auto"/>
            <w:tcMar>
              <w:top w:w="0" w:type="dxa"/>
              <w:left w:w="105" w:type="dxa"/>
              <w:bottom w:w="0" w:type="dxa"/>
              <w:right w:w="105" w:type="dxa"/>
            </w:tcMar>
            <w:vAlign w:val="center"/>
          </w:tcPr>
          <w:p w14:paraId="30B831B4">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958" w:type="dxa"/>
            <w:tcBorders>
              <w:tl2br w:val="nil"/>
              <w:tr2bl w:val="nil"/>
            </w:tcBorders>
            <w:shd w:val="clear" w:color="auto" w:fill="auto"/>
            <w:tcMar>
              <w:top w:w="0" w:type="dxa"/>
              <w:left w:w="105" w:type="dxa"/>
              <w:bottom w:w="0" w:type="dxa"/>
              <w:right w:w="105" w:type="dxa"/>
            </w:tcMar>
            <w:vAlign w:val="center"/>
          </w:tcPr>
          <w:p w14:paraId="3818A885">
            <w:pPr>
              <w:keepNext w:val="0"/>
              <w:keepLines w:val="0"/>
              <w:widowControl/>
              <w:suppressLineNumbers w:val="0"/>
              <w:jc w:val="left"/>
            </w:pPr>
          </w:p>
        </w:tc>
        <w:tc>
          <w:tcPr>
            <w:tcW w:w="1556" w:type="dxa"/>
            <w:tcBorders>
              <w:tl2br w:val="nil"/>
              <w:tr2bl w:val="nil"/>
            </w:tcBorders>
            <w:shd w:val="clear" w:color="auto" w:fill="auto"/>
            <w:tcMar>
              <w:top w:w="0" w:type="dxa"/>
              <w:left w:w="105" w:type="dxa"/>
              <w:bottom w:w="0" w:type="dxa"/>
              <w:right w:w="105" w:type="dxa"/>
            </w:tcMar>
            <w:vAlign w:val="top"/>
          </w:tcPr>
          <w:p w14:paraId="55B35864">
            <w:pPr>
              <w:keepNext w:val="0"/>
              <w:keepLines w:val="0"/>
              <w:widowControl/>
              <w:suppressLineNumbers w:val="0"/>
              <w:jc w:val="left"/>
            </w:pPr>
          </w:p>
        </w:tc>
        <w:tc>
          <w:tcPr>
            <w:tcW w:w="1272" w:type="dxa"/>
            <w:tcBorders>
              <w:tl2br w:val="nil"/>
              <w:tr2bl w:val="nil"/>
            </w:tcBorders>
            <w:shd w:val="clear" w:color="auto" w:fill="auto"/>
            <w:tcMar>
              <w:top w:w="0" w:type="dxa"/>
              <w:left w:w="105" w:type="dxa"/>
              <w:bottom w:w="0" w:type="dxa"/>
              <w:right w:w="105" w:type="dxa"/>
            </w:tcMar>
            <w:vAlign w:val="center"/>
          </w:tcPr>
          <w:p w14:paraId="5F844553">
            <w:pPr>
              <w:keepNext w:val="0"/>
              <w:keepLines w:val="0"/>
              <w:widowControl/>
              <w:suppressLineNumbers w:val="0"/>
              <w:jc w:val="left"/>
            </w:pPr>
          </w:p>
        </w:tc>
        <w:tc>
          <w:tcPr>
            <w:tcW w:w="853" w:type="dxa"/>
            <w:tcBorders>
              <w:tl2br w:val="nil"/>
              <w:tr2bl w:val="nil"/>
            </w:tcBorders>
            <w:shd w:val="clear" w:color="auto" w:fill="auto"/>
            <w:tcMar>
              <w:top w:w="0" w:type="dxa"/>
              <w:left w:w="105" w:type="dxa"/>
              <w:bottom w:w="0" w:type="dxa"/>
              <w:right w:w="105" w:type="dxa"/>
            </w:tcMar>
            <w:vAlign w:val="top"/>
          </w:tcPr>
          <w:p w14:paraId="118733C9">
            <w:pPr>
              <w:keepNext w:val="0"/>
              <w:keepLines w:val="0"/>
              <w:widowControl/>
              <w:suppressLineNumbers w:val="0"/>
              <w:jc w:val="left"/>
            </w:pPr>
          </w:p>
        </w:tc>
        <w:tc>
          <w:tcPr>
            <w:tcW w:w="989" w:type="dxa"/>
            <w:tcBorders>
              <w:tl2br w:val="nil"/>
              <w:tr2bl w:val="nil"/>
            </w:tcBorders>
            <w:shd w:val="clear" w:color="auto" w:fill="auto"/>
            <w:tcMar>
              <w:top w:w="0" w:type="dxa"/>
              <w:left w:w="105" w:type="dxa"/>
              <w:bottom w:w="0" w:type="dxa"/>
              <w:right w:w="105" w:type="dxa"/>
            </w:tcMar>
            <w:vAlign w:val="top"/>
          </w:tcPr>
          <w:p w14:paraId="6F283993">
            <w:pPr>
              <w:keepNext w:val="0"/>
              <w:keepLines w:val="0"/>
              <w:widowControl/>
              <w:suppressLineNumbers w:val="0"/>
              <w:jc w:val="left"/>
            </w:pPr>
          </w:p>
        </w:tc>
        <w:tc>
          <w:tcPr>
            <w:tcW w:w="569" w:type="dxa"/>
            <w:tcBorders>
              <w:tl2br w:val="nil"/>
              <w:tr2bl w:val="nil"/>
            </w:tcBorders>
            <w:shd w:val="clear" w:color="auto" w:fill="auto"/>
            <w:tcMar>
              <w:top w:w="0" w:type="dxa"/>
              <w:left w:w="105" w:type="dxa"/>
              <w:bottom w:w="0" w:type="dxa"/>
              <w:right w:w="105" w:type="dxa"/>
            </w:tcMar>
            <w:vAlign w:val="top"/>
          </w:tcPr>
          <w:p w14:paraId="4E9EAC5D">
            <w:pPr>
              <w:keepNext w:val="0"/>
              <w:keepLines w:val="0"/>
              <w:widowControl/>
              <w:suppressLineNumbers w:val="0"/>
              <w:jc w:val="left"/>
            </w:pPr>
          </w:p>
        </w:tc>
        <w:tc>
          <w:tcPr>
            <w:tcW w:w="1093" w:type="dxa"/>
            <w:tcBorders>
              <w:tl2br w:val="nil"/>
              <w:tr2bl w:val="nil"/>
            </w:tcBorders>
            <w:shd w:val="clear" w:color="auto" w:fill="auto"/>
            <w:tcMar>
              <w:top w:w="0" w:type="dxa"/>
              <w:left w:w="105" w:type="dxa"/>
              <w:bottom w:w="0" w:type="dxa"/>
              <w:right w:w="105" w:type="dxa"/>
            </w:tcMar>
            <w:vAlign w:val="top"/>
          </w:tcPr>
          <w:p w14:paraId="4FECDEF9">
            <w:pPr>
              <w:keepNext w:val="0"/>
              <w:keepLines w:val="0"/>
              <w:widowControl/>
              <w:suppressLineNumbers w:val="0"/>
              <w:jc w:val="left"/>
            </w:pPr>
          </w:p>
        </w:tc>
        <w:tc>
          <w:tcPr>
            <w:tcW w:w="810" w:type="dxa"/>
            <w:tcBorders>
              <w:tl2br w:val="nil"/>
              <w:tr2bl w:val="nil"/>
            </w:tcBorders>
            <w:shd w:val="clear" w:color="auto" w:fill="auto"/>
            <w:tcMar>
              <w:top w:w="0" w:type="dxa"/>
              <w:left w:w="105" w:type="dxa"/>
              <w:bottom w:w="0" w:type="dxa"/>
              <w:right w:w="105" w:type="dxa"/>
            </w:tcMar>
            <w:vAlign w:val="top"/>
          </w:tcPr>
          <w:p w14:paraId="6140627B">
            <w:pPr>
              <w:keepNext w:val="0"/>
              <w:keepLines w:val="0"/>
              <w:widowControl/>
              <w:suppressLineNumbers w:val="0"/>
              <w:jc w:val="left"/>
            </w:pPr>
          </w:p>
        </w:tc>
      </w:tr>
    </w:tbl>
    <w:p w14:paraId="6069154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7C7E92F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1、本表应按照下列规定填写：</w:t>
      </w:r>
    </w:p>
    <w:p w14:paraId="395D7CA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1.1投标人应按照本表格式填写所投合同包的分项报价，其中：“合同包”、“品目号”、“投标标的”及“数量”应与招标文件《采购标的一览表》中的有关内容（“合同包”、“品目号”、“采购标的”及“数量”）保持一致，“合同包”还应与《开标一览表》中列示的“合同包”保持一致，即：若《开标一览表》中列示的“合同包”为“</w:t>
      </w:r>
      <w:r>
        <w:rPr>
          <w:rFonts w:hint="default" w:ascii="Calibri" w:hAnsi="Calibri" w:eastAsia="宋体" w:cs="Calibri"/>
          <w:sz w:val="21"/>
          <w:szCs w:val="21"/>
        </w:rPr>
        <w:t>1</w:t>
      </w:r>
      <w:r>
        <w:rPr>
          <w:rFonts w:hint="eastAsia" w:ascii="宋体" w:hAnsi="宋体" w:eastAsia="宋体" w:cs="宋体"/>
          <w:sz w:val="21"/>
          <w:szCs w:val="21"/>
        </w:rPr>
        <w:t>”时，本表中列示的“合同包”亦应为“</w:t>
      </w:r>
      <w:r>
        <w:rPr>
          <w:rFonts w:hint="default" w:ascii="Calibri" w:hAnsi="Calibri" w:eastAsia="宋体" w:cs="Calibri"/>
          <w:sz w:val="21"/>
          <w:szCs w:val="21"/>
        </w:rPr>
        <w:t>1</w:t>
      </w:r>
      <w:r>
        <w:rPr>
          <w:rFonts w:hint="eastAsia" w:ascii="宋体" w:hAnsi="宋体" w:eastAsia="宋体" w:cs="宋体"/>
          <w:sz w:val="21"/>
          <w:szCs w:val="21"/>
        </w:rPr>
        <w:t>”，以此类推。</w:t>
      </w:r>
    </w:p>
    <w:p w14:paraId="7D3EA98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1.2“投标标的”为货物的：</w:t>
      </w:r>
      <w:r>
        <w:rPr>
          <w:rStyle w:val="8"/>
          <w:rFonts w:hint="eastAsia" w:ascii="宋体" w:hAnsi="宋体" w:eastAsia="宋体" w:cs="宋体"/>
          <w:b/>
          <w:sz w:val="21"/>
          <w:szCs w:val="21"/>
        </w:rPr>
        <w:t>“规格”</w:t>
      </w:r>
      <w:r>
        <w:rPr>
          <w:rFonts w:hint="eastAsia" w:ascii="宋体" w:hAnsi="宋体" w:eastAsia="宋体" w:cs="宋体"/>
          <w:sz w:val="21"/>
          <w:szCs w:val="21"/>
        </w:rPr>
        <w:t>项下应填写货物制造厂商赋予的品牌（属于节能、环保清单产品的货物，填写的品牌名称应与清单载明的品牌名称保持一致）及具体型号。</w:t>
      </w:r>
      <w:r>
        <w:rPr>
          <w:rStyle w:val="8"/>
          <w:rFonts w:hint="eastAsia" w:ascii="宋体" w:hAnsi="宋体" w:eastAsia="宋体" w:cs="宋体"/>
          <w:b/>
          <w:sz w:val="21"/>
          <w:szCs w:val="21"/>
        </w:rPr>
        <w:t>“来源地”</w:t>
      </w:r>
      <w:r>
        <w:rPr>
          <w:rFonts w:hint="eastAsia" w:ascii="宋体" w:hAnsi="宋体" w:eastAsia="宋体" w:cs="宋体"/>
          <w:sz w:val="21"/>
          <w:szCs w:val="21"/>
        </w:rPr>
        <w:t>应填写货物的原产地。</w:t>
      </w:r>
    </w:p>
    <w:p w14:paraId="1629992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1.3“投标标的”为服务的：</w:t>
      </w:r>
      <w:r>
        <w:rPr>
          <w:rStyle w:val="8"/>
          <w:rFonts w:hint="eastAsia" w:ascii="宋体" w:hAnsi="宋体" w:eastAsia="宋体" w:cs="宋体"/>
          <w:b/>
          <w:sz w:val="21"/>
          <w:szCs w:val="21"/>
        </w:rPr>
        <w:t>“规格”</w:t>
      </w:r>
      <w:r>
        <w:rPr>
          <w:rFonts w:hint="eastAsia" w:ascii="宋体" w:hAnsi="宋体" w:eastAsia="宋体" w:cs="宋体"/>
          <w:sz w:val="21"/>
          <w:szCs w:val="21"/>
        </w:rPr>
        <w:t>项下应填写服务提供者提供的服务标准及品牌（若有）。</w:t>
      </w:r>
      <w:r>
        <w:rPr>
          <w:rStyle w:val="8"/>
          <w:rFonts w:hint="eastAsia" w:ascii="宋体" w:hAnsi="宋体" w:eastAsia="宋体" w:cs="宋体"/>
          <w:b/>
          <w:sz w:val="21"/>
          <w:szCs w:val="21"/>
        </w:rPr>
        <w:t>“来源地”</w:t>
      </w:r>
      <w:r>
        <w:rPr>
          <w:rFonts w:hint="eastAsia" w:ascii="宋体" w:hAnsi="宋体" w:eastAsia="宋体" w:cs="宋体"/>
          <w:sz w:val="21"/>
          <w:szCs w:val="21"/>
        </w:rPr>
        <w:t>应填写服务提供者的所在地。</w:t>
      </w:r>
    </w:p>
    <w:p w14:paraId="73E671F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1.4同一合同包中，</w:t>
      </w:r>
      <w:r>
        <w:rPr>
          <w:rStyle w:val="8"/>
          <w:rFonts w:hint="eastAsia" w:ascii="宋体" w:hAnsi="宋体" w:eastAsia="宋体" w:cs="宋体"/>
          <w:b/>
          <w:sz w:val="21"/>
          <w:szCs w:val="21"/>
        </w:rPr>
        <w:t>“单价（现场）”</w:t>
      </w:r>
      <w:r>
        <w:rPr>
          <w:rFonts w:hint="eastAsia" w:ascii="宋体" w:hAnsi="宋体" w:eastAsia="宋体" w:cs="宋体"/>
          <w:sz w:val="21"/>
          <w:szCs w:val="21"/>
        </w:rPr>
        <w:t>×</w:t>
      </w:r>
      <w:r>
        <w:rPr>
          <w:rStyle w:val="8"/>
          <w:rFonts w:hint="eastAsia" w:ascii="宋体" w:hAnsi="宋体" w:eastAsia="宋体" w:cs="宋体"/>
          <w:b/>
          <w:sz w:val="21"/>
          <w:szCs w:val="21"/>
        </w:rPr>
        <w:t>“数量”</w:t>
      </w:r>
      <w:r>
        <w:rPr>
          <w:rFonts w:hint="eastAsia" w:ascii="宋体" w:hAnsi="宋体" w:eastAsia="宋体" w:cs="宋体"/>
          <w:sz w:val="21"/>
          <w:szCs w:val="21"/>
        </w:rPr>
        <w:t>=</w:t>
      </w:r>
      <w:r>
        <w:rPr>
          <w:rStyle w:val="8"/>
          <w:rFonts w:hint="eastAsia" w:ascii="宋体" w:hAnsi="宋体" w:eastAsia="宋体" w:cs="宋体"/>
          <w:b/>
          <w:sz w:val="21"/>
          <w:szCs w:val="21"/>
        </w:rPr>
        <w:t>“总价（现场）”</w:t>
      </w:r>
      <w:r>
        <w:rPr>
          <w:rFonts w:hint="eastAsia" w:ascii="宋体" w:hAnsi="宋体" w:eastAsia="宋体" w:cs="宋体"/>
          <w:sz w:val="21"/>
          <w:szCs w:val="21"/>
        </w:rPr>
        <w:t>，全部品目号</w:t>
      </w:r>
      <w:r>
        <w:rPr>
          <w:rStyle w:val="8"/>
          <w:rFonts w:hint="eastAsia" w:ascii="宋体" w:hAnsi="宋体" w:eastAsia="宋体" w:cs="宋体"/>
          <w:b/>
          <w:sz w:val="21"/>
          <w:szCs w:val="21"/>
        </w:rPr>
        <w:t>“总价（现场）”</w:t>
      </w:r>
      <w:r>
        <w:rPr>
          <w:rFonts w:hint="eastAsia" w:ascii="宋体" w:hAnsi="宋体" w:eastAsia="宋体" w:cs="宋体"/>
          <w:sz w:val="21"/>
          <w:szCs w:val="21"/>
        </w:rPr>
        <w:t>的合计金额应与《开标一览表》中相应合同包列示的</w:t>
      </w:r>
      <w:r>
        <w:rPr>
          <w:rStyle w:val="8"/>
          <w:rFonts w:hint="eastAsia" w:ascii="宋体" w:hAnsi="宋体" w:eastAsia="宋体" w:cs="宋体"/>
          <w:b/>
          <w:sz w:val="21"/>
          <w:szCs w:val="21"/>
        </w:rPr>
        <w:t>“投标总价”</w:t>
      </w:r>
      <w:r>
        <w:rPr>
          <w:rFonts w:hint="eastAsia" w:ascii="宋体" w:hAnsi="宋体" w:eastAsia="宋体" w:cs="宋体"/>
          <w:sz w:val="21"/>
          <w:szCs w:val="21"/>
        </w:rPr>
        <w:t>保持一致。</w:t>
      </w:r>
    </w:p>
    <w:p w14:paraId="72244CB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1.5若招标文件要求投标人对“备品备件价格、专用工具价格、技术服务费、安装调试费、检验培训费、运输费、保险费、税收”等进行报价的，请在本表的</w:t>
      </w:r>
      <w:r>
        <w:rPr>
          <w:rStyle w:val="8"/>
          <w:rFonts w:hint="eastAsia" w:ascii="宋体" w:hAnsi="宋体" w:eastAsia="宋体" w:cs="宋体"/>
          <w:b/>
          <w:sz w:val="21"/>
          <w:szCs w:val="21"/>
        </w:rPr>
        <w:t>“备注”</w:t>
      </w:r>
      <w:r>
        <w:rPr>
          <w:rFonts w:hint="eastAsia" w:ascii="宋体" w:hAnsi="宋体" w:eastAsia="宋体" w:cs="宋体"/>
          <w:sz w:val="21"/>
          <w:szCs w:val="21"/>
        </w:rPr>
        <w:t>项下填写。</w:t>
      </w:r>
    </w:p>
    <w:p w14:paraId="4FF54E2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2、纸质投标文件正本中的本表应为原件。</w:t>
      </w:r>
    </w:p>
    <w:p w14:paraId="6643E5B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2B733EC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132B1AB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453BCD9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649498A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4161A33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44879EF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7582EDF">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8"/>
          <w:rFonts w:hint="eastAsia" w:ascii="宋体" w:hAnsi="宋体" w:eastAsia="宋体" w:cs="宋体"/>
          <w:b/>
          <w:sz w:val="21"/>
          <w:szCs w:val="21"/>
        </w:rPr>
        <w:t>三、招标文件规定的价格扣除证明材料（若有）</w:t>
      </w:r>
    </w:p>
    <w:p w14:paraId="65D57E1B">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三-1优先类节能产品、环境标志产品价格扣除证明材料（若有）</w:t>
      </w:r>
    </w:p>
    <w:p w14:paraId="7C446DC0">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三-1-①优先类节能产品、环境标志产品统计表（价格扣除适用，若有）</w:t>
      </w:r>
    </w:p>
    <w:p w14:paraId="3802C3F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477E9F0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p w14:paraId="2EE26F7F">
      <w:pPr>
        <w:pStyle w:val="5"/>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货币及单位：人民币元</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215"/>
        <w:gridCol w:w="1215"/>
        <w:gridCol w:w="1215"/>
        <w:gridCol w:w="1215"/>
        <w:gridCol w:w="1215"/>
        <w:gridCol w:w="1215"/>
        <w:gridCol w:w="1230"/>
      </w:tblGrid>
      <w:tr w14:paraId="6B4B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215" w:type="dxa"/>
            <w:tcBorders>
              <w:tl2br w:val="nil"/>
              <w:tr2bl w:val="nil"/>
            </w:tcBorders>
            <w:shd w:val="clear" w:color="auto" w:fill="auto"/>
            <w:tcMar>
              <w:top w:w="0" w:type="dxa"/>
              <w:left w:w="105" w:type="dxa"/>
              <w:bottom w:w="0" w:type="dxa"/>
              <w:right w:w="105" w:type="dxa"/>
            </w:tcMar>
            <w:vAlign w:val="center"/>
          </w:tcPr>
          <w:p w14:paraId="3985F4BB">
            <w:pPr>
              <w:keepNext w:val="0"/>
              <w:keepLines w:val="0"/>
              <w:widowControl/>
              <w:suppressLineNumbers w:val="0"/>
              <w:jc w:val="left"/>
            </w:pPr>
          </w:p>
        </w:tc>
        <w:tc>
          <w:tcPr>
            <w:tcW w:w="7305" w:type="dxa"/>
            <w:gridSpan w:val="6"/>
            <w:tcBorders>
              <w:tl2br w:val="nil"/>
              <w:tr2bl w:val="nil"/>
            </w:tcBorders>
            <w:shd w:val="clear" w:color="auto" w:fill="auto"/>
            <w:tcMar>
              <w:top w:w="0" w:type="dxa"/>
              <w:left w:w="105" w:type="dxa"/>
              <w:bottom w:w="0" w:type="dxa"/>
              <w:right w:w="105" w:type="dxa"/>
            </w:tcMar>
            <w:vAlign w:val="center"/>
          </w:tcPr>
          <w:p w14:paraId="75500C6B">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本合同包内属于节能、环境标志产品的情况</w:t>
            </w:r>
          </w:p>
        </w:tc>
      </w:tr>
      <w:tr w14:paraId="0CA4A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215" w:type="dxa"/>
            <w:tcBorders>
              <w:tl2br w:val="nil"/>
              <w:tr2bl w:val="nil"/>
            </w:tcBorders>
            <w:shd w:val="clear" w:color="auto" w:fill="auto"/>
            <w:tcMar>
              <w:top w:w="0" w:type="dxa"/>
              <w:left w:w="105" w:type="dxa"/>
              <w:bottom w:w="0" w:type="dxa"/>
              <w:right w:w="105" w:type="dxa"/>
            </w:tcMar>
            <w:vAlign w:val="center"/>
          </w:tcPr>
          <w:p w14:paraId="2F25EF04">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1215" w:type="dxa"/>
            <w:tcBorders>
              <w:tl2br w:val="nil"/>
              <w:tr2bl w:val="nil"/>
            </w:tcBorders>
            <w:shd w:val="clear" w:color="auto" w:fill="auto"/>
            <w:tcMar>
              <w:top w:w="0" w:type="dxa"/>
              <w:left w:w="105" w:type="dxa"/>
              <w:bottom w:w="0" w:type="dxa"/>
              <w:right w:w="105" w:type="dxa"/>
            </w:tcMar>
            <w:vAlign w:val="center"/>
          </w:tcPr>
          <w:p w14:paraId="7E6F3C8B">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1215" w:type="dxa"/>
            <w:tcBorders>
              <w:tl2br w:val="nil"/>
              <w:tr2bl w:val="nil"/>
            </w:tcBorders>
            <w:shd w:val="clear" w:color="auto" w:fill="auto"/>
            <w:tcMar>
              <w:top w:w="0" w:type="dxa"/>
              <w:left w:w="105" w:type="dxa"/>
              <w:bottom w:w="0" w:type="dxa"/>
              <w:right w:w="105" w:type="dxa"/>
            </w:tcMar>
            <w:vAlign w:val="center"/>
          </w:tcPr>
          <w:p w14:paraId="1B252D48">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货物名称</w:t>
            </w:r>
          </w:p>
        </w:tc>
        <w:tc>
          <w:tcPr>
            <w:tcW w:w="1215" w:type="dxa"/>
            <w:tcBorders>
              <w:tl2br w:val="nil"/>
              <w:tr2bl w:val="nil"/>
            </w:tcBorders>
            <w:shd w:val="clear" w:color="auto" w:fill="auto"/>
            <w:tcMar>
              <w:top w:w="0" w:type="dxa"/>
              <w:left w:w="105" w:type="dxa"/>
              <w:bottom w:w="0" w:type="dxa"/>
              <w:right w:w="105" w:type="dxa"/>
            </w:tcMar>
            <w:vAlign w:val="center"/>
          </w:tcPr>
          <w:p w14:paraId="406179E6">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单价</w:t>
            </w:r>
          </w:p>
          <w:p w14:paraId="704F01F8">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1215" w:type="dxa"/>
            <w:tcBorders>
              <w:tl2br w:val="nil"/>
              <w:tr2bl w:val="nil"/>
            </w:tcBorders>
            <w:shd w:val="clear" w:color="auto" w:fill="auto"/>
            <w:tcMar>
              <w:top w:w="0" w:type="dxa"/>
              <w:left w:w="105" w:type="dxa"/>
              <w:bottom w:w="0" w:type="dxa"/>
              <w:right w:w="105" w:type="dxa"/>
            </w:tcMar>
            <w:vAlign w:val="center"/>
          </w:tcPr>
          <w:p w14:paraId="48106B1C">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数量</w:t>
            </w:r>
          </w:p>
        </w:tc>
        <w:tc>
          <w:tcPr>
            <w:tcW w:w="1215" w:type="dxa"/>
            <w:tcBorders>
              <w:tl2br w:val="nil"/>
              <w:tr2bl w:val="nil"/>
            </w:tcBorders>
            <w:shd w:val="clear" w:color="auto" w:fill="auto"/>
            <w:tcMar>
              <w:top w:w="0" w:type="dxa"/>
              <w:left w:w="105" w:type="dxa"/>
              <w:bottom w:w="0" w:type="dxa"/>
              <w:right w:w="105" w:type="dxa"/>
            </w:tcMar>
            <w:vAlign w:val="center"/>
          </w:tcPr>
          <w:p w14:paraId="52A0A0E5">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总价</w:t>
            </w:r>
          </w:p>
          <w:p w14:paraId="17B84A9C">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1230" w:type="dxa"/>
            <w:tcBorders>
              <w:tl2br w:val="nil"/>
              <w:tr2bl w:val="nil"/>
            </w:tcBorders>
            <w:shd w:val="clear" w:color="auto" w:fill="auto"/>
            <w:tcMar>
              <w:top w:w="0" w:type="dxa"/>
              <w:left w:w="105" w:type="dxa"/>
              <w:bottom w:w="0" w:type="dxa"/>
              <w:right w:w="105" w:type="dxa"/>
            </w:tcMar>
            <w:vAlign w:val="center"/>
          </w:tcPr>
          <w:p w14:paraId="105F128E">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认证种类</w:t>
            </w:r>
          </w:p>
        </w:tc>
      </w:tr>
      <w:tr w14:paraId="76C49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215" w:type="dxa"/>
            <w:vMerge w:val="restart"/>
            <w:tcBorders>
              <w:tl2br w:val="nil"/>
              <w:tr2bl w:val="nil"/>
            </w:tcBorders>
            <w:shd w:val="clear" w:color="auto" w:fill="auto"/>
            <w:tcMar>
              <w:top w:w="0" w:type="dxa"/>
              <w:left w:w="105" w:type="dxa"/>
              <w:bottom w:w="0" w:type="dxa"/>
              <w:right w:w="105" w:type="dxa"/>
            </w:tcMar>
            <w:vAlign w:val="center"/>
          </w:tcPr>
          <w:p w14:paraId="45AEEFE0">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1215" w:type="dxa"/>
            <w:tcBorders>
              <w:tl2br w:val="nil"/>
              <w:tr2bl w:val="nil"/>
            </w:tcBorders>
            <w:shd w:val="clear" w:color="auto" w:fill="auto"/>
            <w:tcMar>
              <w:top w:w="0" w:type="dxa"/>
              <w:left w:w="105" w:type="dxa"/>
              <w:bottom w:w="0" w:type="dxa"/>
              <w:right w:w="105" w:type="dxa"/>
            </w:tcMar>
            <w:vAlign w:val="center"/>
          </w:tcPr>
          <w:p w14:paraId="28BB51EA">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1215" w:type="dxa"/>
            <w:tcBorders>
              <w:tl2br w:val="nil"/>
              <w:tr2bl w:val="nil"/>
            </w:tcBorders>
            <w:shd w:val="clear" w:color="auto" w:fill="auto"/>
            <w:tcMar>
              <w:top w:w="0" w:type="dxa"/>
              <w:left w:w="105" w:type="dxa"/>
              <w:bottom w:w="0" w:type="dxa"/>
              <w:right w:w="105" w:type="dxa"/>
            </w:tcMar>
            <w:vAlign w:val="center"/>
          </w:tcPr>
          <w:p w14:paraId="1C43F433">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14:paraId="23060860">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14:paraId="2F6848E3">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14:paraId="59BAE883">
            <w:pPr>
              <w:keepNext w:val="0"/>
              <w:keepLines w:val="0"/>
              <w:widowControl/>
              <w:suppressLineNumbers w:val="0"/>
              <w:jc w:val="left"/>
            </w:pPr>
          </w:p>
        </w:tc>
        <w:tc>
          <w:tcPr>
            <w:tcW w:w="1230" w:type="dxa"/>
            <w:tcBorders>
              <w:tl2br w:val="nil"/>
              <w:tr2bl w:val="nil"/>
            </w:tcBorders>
            <w:shd w:val="clear" w:color="auto" w:fill="auto"/>
            <w:tcMar>
              <w:top w:w="0" w:type="dxa"/>
              <w:left w:w="105" w:type="dxa"/>
              <w:bottom w:w="0" w:type="dxa"/>
              <w:right w:w="105" w:type="dxa"/>
            </w:tcMar>
            <w:vAlign w:val="center"/>
          </w:tcPr>
          <w:p w14:paraId="370F0502">
            <w:pPr>
              <w:keepNext w:val="0"/>
              <w:keepLines w:val="0"/>
              <w:widowControl/>
              <w:suppressLineNumbers w:val="0"/>
              <w:jc w:val="left"/>
            </w:pPr>
          </w:p>
        </w:tc>
      </w:tr>
      <w:tr w14:paraId="0D7CA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215" w:type="dxa"/>
            <w:vMerge w:val="continue"/>
            <w:tcBorders>
              <w:tl2br w:val="nil"/>
              <w:tr2bl w:val="nil"/>
            </w:tcBorders>
            <w:shd w:val="clear" w:color="auto" w:fill="auto"/>
            <w:tcMar>
              <w:top w:w="0" w:type="dxa"/>
              <w:left w:w="105" w:type="dxa"/>
              <w:bottom w:w="0" w:type="dxa"/>
              <w:right w:w="105" w:type="dxa"/>
            </w:tcMar>
            <w:vAlign w:val="center"/>
          </w:tcPr>
          <w:p w14:paraId="52FD909E">
            <w:pPr>
              <w:rPr>
                <w:rFonts w:hint="eastAsia" w:ascii="宋体"/>
                <w:sz w:val="24"/>
                <w:szCs w:val="24"/>
              </w:rPr>
            </w:pPr>
          </w:p>
        </w:tc>
        <w:tc>
          <w:tcPr>
            <w:tcW w:w="1215" w:type="dxa"/>
            <w:tcBorders>
              <w:tl2br w:val="nil"/>
              <w:tr2bl w:val="nil"/>
            </w:tcBorders>
            <w:shd w:val="clear" w:color="auto" w:fill="auto"/>
            <w:tcMar>
              <w:top w:w="0" w:type="dxa"/>
              <w:left w:w="105" w:type="dxa"/>
              <w:bottom w:w="0" w:type="dxa"/>
              <w:right w:w="105" w:type="dxa"/>
            </w:tcMar>
            <w:vAlign w:val="center"/>
          </w:tcPr>
          <w:p w14:paraId="1581249F">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1215" w:type="dxa"/>
            <w:tcBorders>
              <w:tl2br w:val="nil"/>
              <w:tr2bl w:val="nil"/>
            </w:tcBorders>
            <w:shd w:val="clear" w:color="auto" w:fill="auto"/>
            <w:tcMar>
              <w:top w:w="0" w:type="dxa"/>
              <w:left w:w="105" w:type="dxa"/>
              <w:bottom w:w="0" w:type="dxa"/>
              <w:right w:w="105" w:type="dxa"/>
            </w:tcMar>
            <w:vAlign w:val="center"/>
          </w:tcPr>
          <w:p w14:paraId="2E505324">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14:paraId="3E942EDE">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14:paraId="47C0B128">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14:paraId="3877DA44">
            <w:pPr>
              <w:keepNext w:val="0"/>
              <w:keepLines w:val="0"/>
              <w:widowControl/>
              <w:suppressLineNumbers w:val="0"/>
              <w:jc w:val="left"/>
            </w:pPr>
          </w:p>
        </w:tc>
        <w:tc>
          <w:tcPr>
            <w:tcW w:w="1230" w:type="dxa"/>
            <w:tcBorders>
              <w:tl2br w:val="nil"/>
              <w:tr2bl w:val="nil"/>
            </w:tcBorders>
            <w:shd w:val="clear" w:color="auto" w:fill="auto"/>
            <w:tcMar>
              <w:top w:w="0" w:type="dxa"/>
              <w:left w:w="105" w:type="dxa"/>
              <w:bottom w:w="0" w:type="dxa"/>
              <w:right w:w="105" w:type="dxa"/>
            </w:tcMar>
            <w:vAlign w:val="center"/>
          </w:tcPr>
          <w:p w14:paraId="733D8AFA">
            <w:pPr>
              <w:keepNext w:val="0"/>
              <w:keepLines w:val="0"/>
              <w:widowControl/>
              <w:suppressLineNumbers w:val="0"/>
              <w:jc w:val="left"/>
            </w:pPr>
          </w:p>
        </w:tc>
      </w:tr>
      <w:tr w14:paraId="40830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215" w:type="dxa"/>
            <w:tcBorders>
              <w:tl2br w:val="nil"/>
              <w:tr2bl w:val="nil"/>
            </w:tcBorders>
            <w:shd w:val="clear" w:color="auto" w:fill="auto"/>
            <w:tcMar>
              <w:top w:w="0" w:type="dxa"/>
              <w:left w:w="105" w:type="dxa"/>
              <w:bottom w:w="0" w:type="dxa"/>
              <w:right w:w="105" w:type="dxa"/>
            </w:tcMar>
            <w:vAlign w:val="center"/>
          </w:tcPr>
          <w:p w14:paraId="38F23728">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c>
          <w:tcPr>
            <w:tcW w:w="7305" w:type="dxa"/>
            <w:gridSpan w:val="6"/>
            <w:tcBorders>
              <w:tl2br w:val="nil"/>
              <w:tr2bl w:val="nil"/>
            </w:tcBorders>
            <w:shd w:val="clear" w:color="auto" w:fill="auto"/>
            <w:tcMar>
              <w:top w:w="0" w:type="dxa"/>
              <w:left w:w="105" w:type="dxa"/>
              <w:bottom w:w="0" w:type="dxa"/>
              <w:right w:w="105" w:type="dxa"/>
            </w:tcMar>
            <w:vAlign w:val="top"/>
          </w:tcPr>
          <w:p w14:paraId="7099F15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a.合同包内属于节能、环境标志产品的报价总金额：</w:t>
            </w:r>
            <w:r>
              <w:rPr>
                <w:rFonts w:hint="eastAsia" w:ascii="宋体" w:hAnsi="宋体" w:eastAsia="宋体" w:cs="宋体"/>
                <w:sz w:val="21"/>
                <w:szCs w:val="21"/>
                <w:u w:val="single"/>
              </w:rPr>
              <w:t>              </w:t>
            </w:r>
            <w:r>
              <w:rPr>
                <w:rFonts w:hint="eastAsia" w:ascii="宋体" w:hAnsi="宋体" w:eastAsia="宋体" w:cs="宋体"/>
                <w:sz w:val="21"/>
                <w:szCs w:val="21"/>
              </w:rPr>
              <w:t>；</w:t>
            </w:r>
          </w:p>
          <w:p w14:paraId="0B46C88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b.合同包投标总价（报价总金额）：</w:t>
            </w:r>
            <w:r>
              <w:rPr>
                <w:rFonts w:hint="eastAsia" w:ascii="宋体" w:hAnsi="宋体" w:eastAsia="宋体" w:cs="宋体"/>
                <w:sz w:val="21"/>
                <w:szCs w:val="21"/>
                <w:u w:val="single"/>
              </w:rPr>
              <w:t>              </w:t>
            </w:r>
            <w:r>
              <w:rPr>
                <w:rFonts w:hint="eastAsia" w:ascii="宋体" w:hAnsi="宋体" w:eastAsia="宋体" w:cs="宋体"/>
                <w:sz w:val="21"/>
                <w:szCs w:val="21"/>
              </w:rPr>
              <w:t>；</w:t>
            </w:r>
          </w:p>
          <w:p w14:paraId="6E260AD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c.“合同包内属于节能、环境标志产品的报价总金额”占“合同包投标总价（报价总金额）”的比例（以</w:t>
            </w:r>
            <w:r>
              <w:rPr>
                <w:rFonts w:hint="default" w:ascii="Calibri" w:hAnsi="Calibri" w:eastAsia="宋体" w:cs="Calibri"/>
                <w:sz w:val="21"/>
                <w:szCs w:val="21"/>
              </w:rPr>
              <w:t>%</w:t>
            </w:r>
            <w:r>
              <w:rPr>
                <w:rFonts w:hint="eastAsia" w:ascii="宋体" w:hAnsi="宋体" w:eastAsia="宋体" w:cs="宋体"/>
                <w:sz w:val="21"/>
                <w:szCs w:val="21"/>
              </w:rPr>
              <w:t>列示）：</w:t>
            </w:r>
            <w:r>
              <w:rPr>
                <w:rFonts w:hint="eastAsia" w:ascii="宋体" w:hAnsi="宋体" w:eastAsia="宋体" w:cs="宋体"/>
                <w:sz w:val="21"/>
                <w:szCs w:val="21"/>
                <w:u w:val="single"/>
              </w:rPr>
              <w:t>              </w:t>
            </w:r>
            <w:r>
              <w:rPr>
                <w:rFonts w:hint="eastAsia" w:ascii="宋体" w:hAnsi="宋体" w:eastAsia="宋体" w:cs="宋体"/>
                <w:sz w:val="21"/>
                <w:szCs w:val="21"/>
              </w:rPr>
              <w:t>。</w:t>
            </w:r>
          </w:p>
        </w:tc>
      </w:tr>
    </w:tbl>
    <w:p w14:paraId="596161C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423D7A6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1、对节能、环境标志产品计算价格扣除时，只依据投标文件</w:t>
      </w:r>
      <w:r>
        <w:rPr>
          <w:rStyle w:val="8"/>
          <w:rFonts w:hint="eastAsia" w:ascii="宋体" w:hAnsi="宋体" w:eastAsia="宋体" w:cs="宋体"/>
          <w:b/>
          <w:sz w:val="21"/>
          <w:szCs w:val="21"/>
        </w:rPr>
        <w:t>“三</w:t>
      </w:r>
      <w:r>
        <w:rPr>
          <w:rStyle w:val="8"/>
          <w:rFonts w:hint="default" w:ascii="Calibri" w:hAnsi="Calibri" w:eastAsia="宋体" w:cs="Calibri"/>
          <w:b/>
          <w:sz w:val="21"/>
          <w:szCs w:val="21"/>
        </w:rPr>
        <w:t>-1-</w:t>
      </w:r>
      <w:r>
        <w:rPr>
          <w:rStyle w:val="8"/>
          <w:rFonts w:hint="eastAsia" w:ascii="宋体" w:hAnsi="宋体" w:eastAsia="宋体" w:cs="宋体"/>
          <w:b/>
          <w:sz w:val="21"/>
          <w:szCs w:val="21"/>
        </w:rPr>
        <w:t>②优先类节能产品、环境标志产品证明材料（价格扣除适用，若有）”。</w:t>
      </w:r>
    </w:p>
    <w:p w14:paraId="7C13F13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2、本表以合同包为单位，不同合同包请分别填写；同一合同包请按照其品目号顺序分别填写。</w:t>
      </w:r>
    </w:p>
    <w:p w14:paraId="4A1CAB8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3、具体统计、计算：</w:t>
      </w:r>
    </w:p>
    <w:p w14:paraId="61B4F9E0">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3.1若节能、环境标志产品仅是构成投标产品的部件、组件或零件，则该投标产品不享受鼓励优惠政策。同一品目中各认证证书不重复计算价格扣除。强制类节能产品不享受价格扣除。</w:t>
      </w:r>
    </w:p>
    <w:p w14:paraId="2EDE8F7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3.2计算结果若除不尽，可四舍五入保留到小数点后两位。</w:t>
      </w:r>
    </w:p>
    <w:p w14:paraId="362B89E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3.3投标人应按照招标文件要求认真统计、计算，否则评标委员会不予认定。</w:t>
      </w:r>
    </w:p>
    <w:p w14:paraId="6C42895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3.4若无节能、环境标志产品，不填写本表，否则，</w:t>
      </w:r>
      <w:r>
        <w:rPr>
          <w:rStyle w:val="8"/>
          <w:rFonts w:hint="eastAsia" w:ascii="宋体" w:hAnsi="宋体" w:eastAsia="宋体" w:cs="宋体"/>
          <w:b/>
          <w:sz w:val="21"/>
          <w:szCs w:val="21"/>
        </w:rPr>
        <w:t>视为提供虚假材料。</w:t>
      </w:r>
    </w:p>
    <w:p w14:paraId="1D0AA2C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4、纸质投标文件正本中的本表（若有）应为原件。</w:t>
      </w:r>
    </w:p>
    <w:p w14:paraId="1E17140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6A6B79D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115B8AD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038BA7C5">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 三-1-②优先类节能产品、环境标志产品证明材料（价格扣除适用，若有）</w:t>
      </w:r>
    </w:p>
    <w:p w14:paraId="360FE8AD">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14:paraId="200B7A80">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14:paraId="4904149B">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14:paraId="4FCA7DEC">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14:paraId="1F021F29">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除招标文件另有规定外，投标人应按照招标文件第二章（表1）第</w:t>
      </w:r>
      <w:r>
        <w:rPr>
          <w:rFonts w:hint="default" w:ascii="Calibri" w:hAnsi="Calibri" w:eastAsia="宋体" w:cs="Calibri"/>
          <w:sz w:val="21"/>
          <w:szCs w:val="21"/>
        </w:rPr>
        <w:t>13</w:t>
      </w:r>
      <w:r>
        <w:rPr>
          <w:rFonts w:hint="eastAsia" w:ascii="宋体" w:hAnsi="宋体" w:eastAsia="宋体" w:cs="宋体"/>
          <w:sz w:val="21"/>
          <w:szCs w:val="21"/>
        </w:rPr>
        <w:t>项规定提供相应证明材料。</w:t>
      </w:r>
    </w:p>
    <w:p w14:paraId="4F032BD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A9046D1">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14:paraId="329C9BF0">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r>
        <w:rPr>
          <w:rStyle w:val="8"/>
          <w:rFonts w:hint="default" w:ascii="Calibri" w:hAnsi="Calibri" w:cs="Calibri"/>
          <w:b/>
          <w:sz w:val="21"/>
          <w:szCs w:val="21"/>
        </w:rPr>
        <w:br w:type="textWrapping"/>
      </w:r>
    </w:p>
    <w:p w14:paraId="300270F4">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488F570B">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28CC7A84">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5073555A">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72E7C96E">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0C295921">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26A97C66">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6A366818">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3AF3CA5B">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4D4F0790">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61FA8E40">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63A10DFF">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36683EE9">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6B27FD12">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195D73D7">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7C985732">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38200E3F">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24F6299E">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10453914">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48D93A40">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0BC32662">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三-2小型、微型企业产品等价格扣除证明材料（若有）</w:t>
      </w:r>
    </w:p>
    <w:p w14:paraId="3E5A4A0F">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 </w:t>
      </w:r>
    </w:p>
    <w:p w14:paraId="2AFD108E">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三-2-①小型、微型企业产品等统计表（价格扣除适用，若有）</w:t>
      </w:r>
    </w:p>
    <w:p w14:paraId="497EB00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019A97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p w14:paraId="2FF20FA9">
      <w:pPr>
        <w:pStyle w:val="5"/>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货币及单位：人民币元</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215"/>
        <w:gridCol w:w="1215"/>
        <w:gridCol w:w="1080"/>
        <w:gridCol w:w="990"/>
        <w:gridCol w:w="705"/>
        <w:gridCol w:w="990"/>
        <w:gridCol w:w="1140"/>
        <w:gridCol w:w="1185"/>
      </w:tblGrid>
      <w:tr w14:paraId="506C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215" w:type="dxa"/>
            <w:tcBorders>
              <w:tl2br w:val="nil"/>
              <w:tr2bl w:val="nil"/>
            </w:tcBorders>
            <w:shd w:val="clear" w:color="auto" w:fill="auto"/>
            <w:tcMar>
              <w:top w:w="0" w:type="dxa"/>
              <w:left w:w="105" w:type="dxa"/>
              <w:bottom w:w="0" w:type="dxa"/>
              <w:right w:w="105" w:type="dxa"/>
            </w:tcMar>
            <w:vAlign w:val="center"/>
          </w:tcPr>
          <w:p w14:paraId="38029FE7">
            <w:pPr>
              <w:keepNext w:val="0"/>
              <w:keepLines w:val="0"/>
              <w:widowControl/>
              <w:suppressLineNumbers w:val="0"/>
              <w:jc w:val="left"/>
            </w:pPr>
          </w:p>
        </w:tc>
        <w:tc>
          <w:tcPr>
            <w:tcW w:w="7305" w:type="dxa"/>
            <w:gridSpan w:val="7"/>
            <w:tcBorders>
              <w:tl2br w:val="nil"/>
              <w:tr2bl w:val="nil"/>
            </w:tcBorders>
            <w:shd w:val="clear" w:color="auto" w:fill="auto"/>
            <w:tcMar>
              <w:top w:w="0" w:type="dxa"/>
              <w:left w:w="105" w:type="dxa"/>
              <w:bottom w:w="0" w:type="dxa"/>
              <w:right w:w="105" w:type="dxa"/>
            </w:tcMar>
            <w:vAlign w:val="center"/>
          </w:tcPr>
          <w:p w14:paraId="023A77C0">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合同包内属于小型、微型企业产品等的情况</w:t>
            </w:r>
          </w:p>
        </w:tc>
      </w:tr>
      <w:tr w14:paraId="5F460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215" w:type="dxa"/>
            <w:tcBorders>
              <w:tl2br w:val="nil"/>
              <w:tr2bl w:val="nil"/>
            </w:tcBorders>
            <w:shd w:val="clear" w:color="auto" w:fill="auto"/>
            <w:tcMar>
              <w:top w:w="0" w:type="dxa"/>
              <w:left w:w="105" w:type="dxa"/>
              <w:bottom w:w="0" w:type="dxa"/>
              <w:right w:w="105" w:type="dxa"/>
            </w:tcMar>
            <w:vAlign w:val="center"/>
          </w:tcPr>
          <w:p w14:paraId="6F7F0EA0">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1215" w:type="dxa"/>
            <w:tcBorders>
              <w:tl2br w:val="nil"/>
              <w:tr2bl w:val="nil"/>
            </w:tcBorders>
            <w:shd w:val="clear" w:color="auto" w:fill="auto"/>
            <w:tcMar>
              <w:top w:w="0" w:type="dxa"/>
              <w:left w:w="105" w:type="dxa"/>
              <w:bottom w:w="0" w:type="dxa"/>
              <w:right w:w="105" w:type="dxa"/>
            </w:tcMar>
            <w:vAlign w:val="center"/>
          </w:tcPr>
          <w:p w14:paraId="05778D66">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1080" w:type="dxa"/>
            <w:tcBorders>
              <w:tl2br w:val="nil"/>
              <w:tr2bl w:val="nil"/>
            </w:tcBorders>
            <w:shd w:val="clear" w:color="auto" w:fill="auto"/>
            <w:tcMar>
              <w:top w:w="0" w:type="dxa"/>
              <w:left w:w="105" w:type="dxa"/>
              <w:bottom w:w="0" w:type="dxa"/>
              <w:right w:w="105" w:type="dxa"/>
            </w:tcMar>
            <w:vAlign w:val="center"/>
          </w:tcPr>
          <w:p w14:paraId="0652D10F">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采购标的</w:t>
            </w:r>
          </w:p>
        </w:tc>
        <w:tc>
          <w:tcPr>
            <w:tcW w:w="990" w:type="dxa"/>
            <w:tcBorders>
              <w:tl2br w:val="nil"/>
              <w:tr2bl w:val="nil"/>
            </w:tcBorders>
            <w:shd w:val="clear" w:color="auto" w:fill="auto"/>
            <w:tcMar>
              <w:top w:w="0" w:type="dxa"/>
              <w:left w:w="105" w:type="dxa"/>
              <w:bottom w:w="0" w:type="dxa"/>
              <w:right w:w="105" w:type="dxa"/>
            </w:tcMar>
            <w:vAlign w:val="center"/>
          </w:tcPr>
          <w:p w14:paraId="7D38C109">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单价</w:t>
            </w:r>
          </w:p>
          <w:p w14:paraId="15662349">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705" w:type="dxa"/>
            <w:tcBorders>
              <w:tl2br w:val="nil"/>
              <w:tr2bl w:val="nil"/>
            </w:tcBorders>
            <w:shd w:val="clear" w:color="auto" w:fill="auto"/>
            <w:tcMar>
              <w:top w:w="0" w:type="dxa"/>
              <w:left w:w="105" w:type="dxa"/>
              <w:bottom w:w="0" w:type="dxa"/>
              <w:right w:w="105" w:type="dxa"/>
            </w:tcMar>
            <w:vAlign w:val="center"/>
          </w:tcPr>
          <w:p w14:paraId="0B165C50">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数量</w:t>
            </w:r>
          </w:p>
        </w:tc>
        <w:tc>
          <w:tcPr>
            <w:tcW w:w="990" w:type="dxa"/>
            <w:tcBorders>
              <w:tl2br w:val="nil"/>
              <w:tr2bl w:val="nil"/>
            </w:tcBorders>
            <w:shd w:val="clear" w:color="auto" w:fill="auto"/>
            <w:tcMar>
              <w:top w:w="0" w:type="dxa"/>
              <w:left w:w="105" w:type="dxa"/>
              <w:bottom w:w="0" w:type="dxa"/>
              <w:right w:w="105" w:type="dxa"/>
            </w:tcMar>
            <w:vAlign w:val="center"/>
          </w:tcPr>
          <w:p w14:paraId="27C5CF96">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总价</w:t>
            </w:r>
          </w:p>
          <w:p w14:paraId="4B85EBA4">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1140" w:type="dxa"/>
            <w:tcBorders>
              <w:tl2br w:val="nil"/>
              <w:tr2bl w:val="nil"/>
            </w:tcBorders>
            <w:shd w:val="clear" w:color="auto" w:fill="auto"/>
            <w:tcMar>
              <w:top w:w="0" w:type="dxa"/>
              <w:left w:w="105" w:type="dxa"/>
              <w:bottom w:w="0" w:type="dxa"/>
              <w:right w:w="105" w:type="dxa"/>
            </w:tcMar>
            <w:vAlign w:val="center"/>
          </w:tcPr>
          <w:p w14:paraId="6E59AC23">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制造厂商</w:t>
            </w:r>
          </w:p>
        </w:tc>
        <w:tc>
          <w:tcPr>
            <w:tcW w:w="1185" w:type="dxa"/>
            <w:tcBorders>
              <w:tl2br w:val="nil"/>
              <w:tr2bl w:val="nil"/>
            </w:tcBorders>
            <w:shd w:val="clear" w:color="auto" w:fill="auto"/>
            <w:tcMar>
              <w:top w:w="0" w:type="dxa"/>
              <w:left w:w="105" w:type="dxa"/>
              <w:bottom w:w="0" w:type="dxa"/>
              <w:right w:w="105" w:type="dxa"/>
            </w:tcMar>
            <w:vAlign w:val="center"/>
          </w:tcPr>
          <w:p w14:paraId="23F34B48">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企业类型</w:t>
            </w:r>
          </w:p>
        </w:tc>
      </w:tr>
      <w:tr w14:paraId="175F5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215" w:type="dxa"/>
            <w:vMerge w:val="restart"/>
            <w:tcBorders>
              <w:tl2br w:val="nil"/>
              <w:tr2bl w:val="nil"/>
            </w:tcBorders>
            <w:shd w:val="clear" w:color="auto" w:fill="auto"/>
            <w:tcMar>
              <w:top w:w="0" w:type="dxa"/>
              <w:left w:w="105" w:type="dxa"/>
              <w:bottom w:w="0" w:type="dxa"/>
              <w:right w:w="105" w:type="dxa"/>
            </w:tcMar>
            <w:vAlign w:val="center"/>
          </w:tcPr>
          <w:p w14:paraId="2B3F36C8">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1215" w:type="dxa"/>
            <w:tcBorders>
              <w:tl2br w:val="nil"/>
              <w:tr2bl w:val="nil"/>
            </w:tcBorders>
            <w:shd w:val="clear" w:color="auto" w:fill="auto"/>
            <w:tcMar>
              <w:top w:w="0" w:type="dxa"/>
              <w:left w:w="105" w:type="dxa"/>
              <w:bottom w:w="0" w:type="dxa"/>
              <w:right w:w="105" w:type="dxa"/>
            </w:tcMar>
            <w:vAlign w:val="center"/>
          </w:tcPr>
          <w:p w14:paraId="7658C421">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1080" w:type="dxa"/>
            <w:tcBorders>
              <w:tl2br w:val="nil"/>
              <w:tr2bl w:val="nil"/>
            </w:tcBorders>
            <w:shd w:val="clear" w:color="auto" w:fill="auto"/>
            <w:tcMar>
              <w:top w:w="0" w:type="dxa"/>
              <w:left w:w="105" w:type="dxa"/>
              <w:bottom w:w="0" w:type="dxa"/>
              <w:right w:w="105" w:type="dxa"/>
            </w:tcMar>
            <w:vAlign w:val="center"/>
          </w:tcPr>
          <w:p w14:paraId="2CCA9319">
            <w:pPr>
              <w:keepNext w:val="0"/>
              <w:keepLines w:val="0"/>
              <w:widowControl/>
              <w:suppressLineNumbers w:val="0"/>
              <w:jc w:val="left"/>
            </w:pPr>
          </w:p>
        </w:tc>
        <w:tc>
          <w:tcPr>
            <w:tcW w:w="990" w:type="dxa"/>
            <w:tcBorders>
              <w:tl2br w:val="nil"/>
              <w:tr2bl w:val="nil"/>
            </w:tcBorders>
            <w:shd w:val="clear" w:color="auto" w:fill="auto"/>
            <w:tcMar>
              <w:top w:w="0" w:type="dxa"/>
              <w:left w:w="105" w:type="dxa"/>
              <w:bottom w:w="0" w:type="dxa"/>
              <w:right w:w="105" w:type="dxa"/>
            </w:tcMar>
            <w:vAlign w:val="center"/>
          </w:tcPr>
          <w:p w14:paraId="7106DC79">
            <w:pPr>
              <w:keepNext w:val="0"/>
              <w:keepLines w:val="0"/>
              <w:widowControl/>
              <w:suppressLineNumbers w:val="0"/>
              <w:jc w:val="left"/>
            </w:pPr>
          </w:p>
        </w:tc>
        <w:tc>
          <w:tcPr>
            <w:tcW w:w="705" w:type="dxa"/>
            <w:tcBorders>
              <w:tl2br w:val="nil"/>
              <w:tr2bl w:val="nil"/>
            </w:tcBorders>
            <w:shd w:val="clear" w:color="auto" w:fill="auto"/>
            <w:tcMar>
              <w:top w:w="0" w:type="dxa"/>
              <w:left w:w="105" w:type="dxa"/>
              <w:bottom w:w="0" w:type="dxa"/>
              <w:right w:w="105" w:type="dxa"/>
            </w:tcMar>
            <w:vAlign w:val="center"/>
          </w:tcPr>
          <w:p w14:paraId="6C614B0F">
            <w:pPr>
              <w:keepNext w:val="0"/>
              <w:keepLines w:val="0"/>
              <w:widowControl/>
              <w:suppressLineNumbers w:val="0"/>
              <w:jc w:val="left"/>
            </w:pPr>
          </w:p>
        </w:tc>
        <w:tc>
          <w:tcPr>
            <w:tcW w:w="990" w:type="dxa"/>
            <w:tcBorders>
              <w:tl2br w:val="nil"/>
              <w:tr2bl w:val="nil"/>
            </w:tcBorders>
            <w:shd w:val="clear" w:color="auto" w:fill="auto"/>
            <w:tcMar>
              <w:top w:w="0" w:type="dxa"/>
              <w:left w:w="105" w:type="dxa"/>
              <w:bottom w:w="0" w:type="dxa"/>
              <w:right w:w="105" w:type="dxa"/>
            </w:tcMar>
            <w:vAlign w:val="center"/>
          </w:tcPr>
          <w:p w14:paraId="4CAE6BA1">
            <w:pPr>
              <w:keepNext w:val="0"/>
              <w:keepLines w:val="0"/>
              <w:widowControl/>
              <w:suppressLineNumbers w:val="0"/>
              <w:jc w:val="left"/>
            </w:pPr>
          </w:p>
        </w:tc>
        <w:tc>
          <w:tcPr>
            <w:tcW w:w="1140" w:type="dxa"/>
            <w:tcBorders>
              <w:tl2br w:val="nil"/>
              <w:tr2bl w:val="nil"/>
            </w:tcBorders>
            <w:shd w:val="clear" w:color="auto" w:fill="auto"/>
            <w:tcMar>
              <w:top w:w="0" w:type="dxa"/>
              <w:left w:w="105" w:type="dxa"/>
              <w:bottom w:w="0" w:type="dxa"/>
              <w:right w:w="105" w:type="dxa"/>
            </w:tcMar>
            <w:vAlign w:val="center"/>
          </w:tcPr>
          <w:p w14:paraId="5ADCB5C3">
            <w:pPr>
              <w:keepNext w:val="0"/>
              <w:keepLines w:val="0"/>
              <w:widowControl/>
              <w:suppressLineNumbers w:val="0"/>
              <w:jc w:val="left"/>
            </w:pPr>
          </w:p>
        </w:tc>
        <w:tc>
          <w:tcPr>
            <w:tcW w:w="1185" w:type="dxa"/>
            <w:tcBorders>
              <w:tl2br w:val="nil"/>
              <w:tr2bl w:val="nil"/>
            </w:tcBorders>
            <w:shd w:val="clear" w:color="auto" w:fill="auto"/>
            <w:tcMar>
              <w:top w:w="0" w:type="dxa"/>
              <w:left w:w="105" w:type="dxa"/>
              <w:bottom w:w="0" w:type="dxa"/>
              <w:right w:w="105" w:type="dxa"/>
            </w:tcMar>
            <w:vAlign w:val="center"/>
          </w:tcPr>
          <w:p w14:paraId="40656566">
            <w:pPr>
              <w:keepNext w:val="0"/>
              <w:keepLines w:val="0"/>
              <w:widowControl/>
              <w:suppressLineNumbers w:val="0"/>
              <w:jc w:val="left"/>
            </w:pPr>
          </w:p>
        </w:tc>
      </w:tr>
      <w:tr w14:paraId="33F5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215" w:type="dxa"/>
            <w:vMerge w:val="continue"/>
            <w:tcBorders>
              <w:tl2br w:val="nil"/>
              <w:tr2bl w:val="nil"/>
            </w:tcBorders>
            <w:shd w:val="clear" w:color="auto" w:fill="auto"/>
            <w:tcMar>
              <w:top w:w="0" w:type="dxa"/>
              <w:left w:w="105" w:type="dxa"/>
              <w:bottom w:w="0" w:type="dxa"/>
              <w:right w:w="105" w:type="dxa"/>
            </w:tcMar>
            <w:vAlign w:val="center"/>
          </w:tcPr>
          <w:p w14:paraId="01CB5AEC">
            <w:pPr>
              <w:rPr>
                <w:rFonts w:hint="eastAsia" w:ascii="宋体"/>
                <w:sz w:val="24"/>
                <w:szCs w:val="24"/>
              </w:rPr>
            </w:pPr>
          </w:p>
        </w:tc>
        <w:tc>
          <w:tcPr>
            <w:tcW w:w="1215" w:type="dxa"/>
            <w:tcBorders>
              <w:tl2br w:val="nil"/>
              <w:tr2bl w:val="nil"/>
            </w:tcBorders>
            <w:shd w:val="clear" w:color="auto" w:fill="auto"/>
            <w:tcMar>
              <w:top w:w="0" w:type="dxa"/>
              <w:left w:w="105" w:type="dxa"/>
              <w:bottom w:w="0" w:type="dxa"/>
              <w:right w:w="105" w:type="dxa"/>
            </w:tcMar>
            <w:vAlign w:val="center"/>
          </w:tcPr>
          <w:p w14:paraId="09CCE632">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1080" w:type="dxa"/>
            <w:tcBorders>
              <w:tl2br w:val="nil"/>
              <w:tr2bl w:val="nil"/>
            </w:tcBorders>
            <w:shd w:val="clear" w:color="auto" w:fill="auto"/>
            <w:tcMar>
              <w:top w:w="0" w:type="dxa"/>
              <w:left w:w="105" w:type="dxa"/>
              <w:bottom w:w="0" w:type="dxa"/>
              <w:right w:w="105" w:type="dxa"/>
            </w:tcMar>
            <w:vAlign w:val="center"/>
          </w:tcPr>
          <w:p w14:paraId="7A2D2D6B">
            <w:pPr>
              <w:keepNext w:val="0"/>
              <w:keepLines w:val="0"/>
              <w:widowControl/>
              <w:suppressLineNumbers w:val="0"/>
              <w:jc w:val="left"/>
            </w:pPr>
          </w:p>
        </w:tc>
        <w:tc>
          <w:tcPr>
            <w:tcW w:w="990" w:type="dxa"/>
            <w:tcBorders>
              <w:tl2br w:val="nil"/>
              <w:tr2bl w:val="nil"/>
            </w:tcBorders>
            <w:shd w:val="clear" w:color="auto" w:fill="auto"/>
            <w:tcMar>
              <w:top w:w="0" w:type="dxa"/>
              <w:left w:w="105" w:type="dxa"/>
              <w:bottom w:w="0" w:type="dxa"/>
              <w:right w:w="105" w:type="dxa"/>
            </w:tcMar>
            <w:vAlign w:val="center"/>
          </w:tcPr>
          <w:p w14:paraId="2039C5E4">
            <w:pPr>
              <w:keepNext w:val="0"/>
              <w:keepLines w:val="0"/>
              <w:widowControl/>
              <w:suppressLineNumbers w:val="0"/>
              <w:jc w:val="left"/>
            </w:pPr>
          </w:p>
        </w:tc>
        <w:tc>
          <w:tcPr>
            <w:tcW w:w="705" w:type="dxa"/>
            <w:tcBorders>
              <w:tl2br w:val="nil"/>
              <w:tr2bl w:val="nil"/>
            </w:tcBorders>
            <w:shd w:val="clear" w:color="auto" w:fill="auto"/>
            <w:tcMar>
              <w:top w:w="0" w:type="dxa"/>
              <w:left w:w="105" w:type="dxa"/>
              <w:bottom w:w="0" w:type="dxa"/>
              <w:right w:w="105" w:type="dxa"/>
            </w:tcMar>
            <w:vAlign w:val="center"/>
          </w:tcPr>
          <w:p w14:paraId="430FB428">
            <w:pPr>
              <w:keepNext w:val="0"/>
              <w:keepLines w:val="0"/>
              <w:widowControl/>
              <w:suppressLineNumbers w:val="0"/>
              <w:jc w:val="left"/>
            </w:pPr>
          </w:p>
        </w:tc>
        <w:tc>
          <w:tcPr>
            <w:tcW w:w="990" w:type="dxa"/>
            <w:tcBorders>
              <w:tl2br w:val="nil"/>
              <w:tr2bl w:val="nil"/>
            </w:tcBorders>
            <w:shd w:val="clear" w:color="auto" w:fill="auto"/>
            <w:tcMar>
              <w:top w:w="0" w:type="dxa"/>
              <w:left w:w="105" w:type="dxa"/>
              <w:bottom w:w="0" w:type="dxa"/>
              <w:right w:w="105" w:type="dxa"/>
            </w:tcMar>
            <w:vAlign w:val="center"/>
          </w:tcPr>
          <w:p w14:paraId="743B0D98">
            <w:pPr>
              <w:keepNext w:val="0"/>
              <w:keepLines w:val="0"/>
              <w:widowControl/>
              <w:suppressLineNumbers w:val="0"/>
              <w:jc w:val="left"/>
            </w:pPr>
          </w:p>
        </w:tc>
        <w:tc>
          <w:tcPr>
            <w:tcW w:w="1140" w:type="dxa"/>
            <w:tcBorders>
              <w:tl2br w:val="nil"/>
              <w:tr2bl w:val="nil"/>
            </w:tcBorders>
            <w:shd w:val="clear" w:color="auto" w:fill="auto"/>
            <w:tcMar>
              <w:top w:w="0" w:type="dxa"/>
              <w:left w:w="105" w:type="dxa"/>
              <w:bottom w:w="0" w:type="dxa"/>
              <w:right w:w="105" w:type="dxa"/>
            </w:tcMar>
            <w:vAlign w:val="center"/>
          </w:tcPr>
          <w:p w14:paraId="0E6581FB">
            <w:pPr>
              <w:keepNext w:val="0"/>
              <w:keepLines w:val="0"/>
              <w:widowControl/>
              <w:suppressLineNumbers w:val="0"/>
              <w:jc w:val="left"/>
            </w:pPr>
          </w:p>
        </w:tc>
        <w:tc>
          <w:tcPr>
            <w:tcW w:w="1185" w:type="dxa"/>
            <w:tcBorders>
              <w:tl2br w:val="nil"/>
              <w:tr2bl w:val="nil"/>
            </w:tcBorders>
            <w:shd w:val="clear" w:color="auto" w:fill="auto"/>
            <w:tcMar>
              <w:top w:w="0" w:type="dxa"/>
              <w:left w:w="105" w:type="dxa"/>
              <w:bottom w:w="0" w:type="dxa"/>
              <w:right w:w="105" w:type="dxa"/>
            </w:tcMar>
            <w:vAlign w:val="center"/>
          </w:tcPr>
          <w:p w14:paraId="16371AB7">
            <w:pPr>
              <w:keepNext w:val="0"/>
              <w:keepLines w:val="0"/>
              <w:widowControl/>
              <w:suppressLineNumbers w:val="0"/>
              <w:jc w:val="left"/>
            </w:pPr>
          </w:p>
        </w:tc>
      </w:tr>
      <w:tr w14:paraId="1C085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215" w:type="dxa"/>
            <w:tcBorders>
              <w:tl2br w:val="nil"/>
              <w:tr2bl w:val="nil"/>
            </w:tcBorders>
            <w:shd w:val="clear" w:color="auto" w:fill="auto"/>
            <w:tcMar>
              <w:top w:w="0" w:type="dxa"/>
              <w:left w:w="105" w:type="dxa"/>
              <w:bottom w:w="0" w:type="dxa"/>
              <w:right w:w="105" w:type="dxa"/>
            </w:tcMar>
            <w:vAlign w:val="center"/>
          </w:tcPr>
          <w:p w14:paraId="58CA6131">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c>
          <w:tcPr>
            <w:tcW w:w="7305" w:type="dxa"/>
            <w:gridSpan w:val="7"/>
            <w:tcBorders>
              <w:tl2br w:val="nil"/>
              <w:tr2bl w:val="nil"/>
            </w:tcBorders>
            <w:shd w:val="clear" w:color="auto" w:fill="auto"/>
            <w:tcMar>
              <w:top w:w="0" w:type="dxa"/>
              <w:left w:w="105" w:type="dxa"/>
              <w:bottom w:w="0" w:type="dxa"/>
              <w:right w:w="105" w:type="dxa"/>
            </w:tcMar>
            <w:vAlign w:val="top"/>
          </w:tcPr>
          <w:p w14:paraId="2786F0E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合同包内属于小型、微型企业产品等的报价总金额：</w:t>
            </w:r>
            <w:r>
              <w:rPr>
                <w:rFonts w:hint="eastAsia" w:ascii="宋体" w:hAnsi="宋体" w:eastAsia="宋体" w:cs="宋体"/>
                <w:sz w:val="21"/>
                <w:szCs w:val="21"/>
                <w:u w:val="single"/>
              </w:rPr>
              <w:t>              </w:t>
            </w:r>
            <w:r>
              <w:rPr>
                <w:rFonts w:hint="eastAsia" w:ascii="宋体" w:hAnsi="宋体" w:eastAsia="宋体" w:cs="宋体"/>
                <w:sz w:val="21"/>
                <w:szCs w:val="21"/>
              </w:rPr>
              <w:t>。</w:t>
            </w:r>
          </w:p>
        </w:tc>
      </w:tr>
    </w:tbl>
    <w:p w14:paraId="323C0D3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03DEDFF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1、对小型、微型企业产品等计算价格扣除时，只依据投标文件</w:t>
      </w:r>
      <w:r>
        <w:rPr>
          <w:rStyle w:val="8"/>
          <w:rFonts w:hint="eastAsia" w:ascii="宋体" w:hAnsi="宋体" w:eastAsia="宋体" w:cs="宋体"/>
          <w:b/>
          <w:sz w:val="21"/>
          <w:szCs w:val="21"/>
        </w:rPr>
        <w:t>“三</w:t>
      </w:r>
      <w:r>
        <w:rPr>
          <w:rStyle w:val="8"/>
          <w:rFonts w:hint="default" w:ascii="Calibri" w:hAnsi="Calibri" w:eastAsia="宋体" w:cs="Calibri"/>
          <w:b/>
          <w:sz w:val="21"/>
          <w:szCs w:val="21"/>
        </w:rPr>
        <w:t>-2-</w:t>
      </w:r>
      <w:r>
        <w:rPr>
          <w:rStyle w:val="8"/>
          <w:rFonts w:hint="eastAsia" w:ascii="宋体" w:hAnsi="宋体" w:eastAsia="宋体" w:cs="宋体"/>
          <w:b/>
          <w:sz w:val="21"/>
          <w:szCs w:val="21"/>
        </w:rPr>
        <w:t>②中小企业声明函（价格扣除适用，若有）”及“三</w:t>
      </w:r>
      <w:r>
        <w:rPr>
          <w:rStyle w:val="8"/>
          <w:rFonts w:hint="default" w:ascii="Calibri" w:hAnsi="Calibri" w:eastAsia="宋体" w:cs="Calibri"/>
          <w:b/>
          <w:sz w:val="21"/>
          <w:szCs w:val="21"/>
        </w:rPr>
        <w:t>-2-</w:t>
      </w:r>
      <w:r>
        <w:rPr>
          <w:rStyle w:val="8"/>
          <w:rFonts w:hint="eastAsia" w:ascii="宋体" w:hAnsi="宋体" w:eastAsia="宋体" w:cs="宋体"/>
          <w:b/>
          <w:sz w:val="21"/>
          <w:szCs w:val="21"/>
        </w:rPr>
        <w:t>③小型、微型企业等证明材料（价格扣除适用，若有）”。</w:t>
      </w:r>
    </w:p>
    <w:p w14:paraId="4D22391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2、本表以合同包为单位，不同合同包请分别填写；同一合同包请按照其品目号顺序分别填写。</w:t>
      </w:r>
    </w:p>
    <w:p w14:paraId="7A42D2E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w:t>
      </w:r>
      <w:r>
        <w:rPr>
          <w:rStyle w:val="8"/>
          <w:rFonts w:hint="eastAsia" w:ascii="宋体" w:hAnsi="宋体" w:eastAsia="宋体" w:cs="宋体"/>
          <w:b/>
          <w:sz w:val="21"/>
          <w:szCs w:val="21"/>
        </w:rPr>
        <w:t>除本表第4条规定情形外，小型、微型企业（含监狱企业）承担的工程或提供的服务不享受价格扣除。</w:t>
      </w:r>
    </w:p>
    <w:p w14:paraId="32F03460">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4、符合财政部、民政部、中国残联文件（财库</w:t>
      </w:r>
      <w:r>
        <w:rPr>
          <w:rFonts w:hint="default" w:ascii="Calibri" w:hAnsi="Calibri" w:eastAsia="宋体" w:cs="Calibri"/>
          <w:sz w:val="21"/>
          <w:szCs w:val="21"/>
        </w:rPr>
        <w:t>[2017]141</w:t>
      </w:r>
      <w:r>
        <w:rPr>
          <w:rFonts w:hint="eastAsia" w:ascii="宋体" w:hAnsi="宋体" w:eastAsia="宋体" w:cs="宋体"/>
          <w:sz w:val="21"/>
          <w:szCs w:val="21"/>
        </w:rPr>
        <w:t>号）规定的残疾人福利性单位提供本单位制造的货物、承担的工程或服务，或提供其他残疾人福利性单位制造的货物（不包括使用非残疾人福利性单位注册商标的货物）</w:t>
      </w:r>
      <w:r>
        <w:rPr>
          <w:rStyle w:val="8"/>
          <w:rFonts w:hint="eastAsia" w:ascii="宋体" w:hAnsi="宋体" w:eastAsia="宋体" w:cs="宋体"/>
          <w:b/>
          <w:sz w:val="21"/>
          <w:szCs w:val="21"/>
        </w:rPr>
        <w:t>可享受价格扣除。</w:t>
      </w:r>
    </w:p>
    <w:p w14:paraId="094251B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5、纸质投标文件正本中的本表（若有）应为原件。</w:t>
      </w:r>
    </w:p>
    <w:p w14:paraId="5303ABE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1FE9EE4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F9BE46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21B9613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3942CA7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0DDB574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2EC4C2D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4CF40E3">
      <w:pPr>
        <w:pStyle w:val="5"/>
        <w:keepNext w:val="0"/>
        <w:keepLines w:val="0"/>
        <w:widowControl/>
        <w:suppressLineNumbers w:val="0"/>
        <w:spacing w:before="0" w:beforeAutospacing="0" w:after="150" w:afterAutospacing="0"/>
        <w:ind w:left="0" w:right="0"/>
        <w:jc w:val="center"/>
      </w:pPr>
      <w:r>
        <w:rPr>
          <w:rStyle w:val="8"/>
          <w:rFonts w:hint="default" w:ascii="Calibri" w:hAnsi="Calibri" w:cs="Calibri"/>
          <w:b/>
          <w:sz w:val="21"/>
          <w:szCs w:val="21"/>
        </w:rPr>
        <w:br w:type="textWrapping"/>
      </w:r>
      <w:r>
        <w:rPr>
          <w:rStyle w:val="8"/>
          <w:rFonts w:hint="eastAsia" w:ascii="宋体" w:hAnsi="宋体" w:eastAsia="宋体" w:cs="宋体"/>
          <w:b/>
          <w:sz w:val="21"/>
          <w:szCs w:val="21"/>
        </w:rPr>
        <w:t>三-2-②中小企业声明函（价格扣除适用，若有）</w:t>
      </w:r>
    </w:p>
    <w:p w14:paraId="167DD236">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14:paraId="245594FE">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本投标人郑重声明，根据《政府采购促进中小企业发展暂行办法》（财库[2011]181号）的规定，本投标人为</w:t>
      </w:r>
      <w:r>
        <w:rPr>
          <w:rFonts w:hint="eastAsia" w:ascii="宋体" w:hAnsi="宋体" w:eastAsia="宋体" w:cs="宋体"/>
          <w:sz w:val="21"/>
          <w:szCs w:val="21"/>
          <w:u w:val="single"/>
        </w:rPr>
        <w:t>（填写“中型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企业。即本投标人同时满足以下条件：</w:t>
      </w:r>
    </w:p>
    <w:p w14:paraId="2E138340">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1、根据《工业和信息化部、国家统计局、国家发展和改革委员会、财政部关于印发中小企业划型标准规定的通知》（工信部联企业</w:t>
      </w:r>
      <w:r>
        <w:rPr>
          <w:rFonts w:hint="default" w:ascii="Calibri" w:hAnsi="Calibri" w:eastAsia="宋体" w:cs="Calibri"/>
          <w:sz w:val="21"/>
          <w:szCs w:val="21"/>
        </w:rPr>
        <w:t>[2011]300</w:t>
      </w:r>
      <w:r>
        <w:rPr>
          <w:rFonts w:hint="eastAsia" w:ascii="宋体" w:hAnsi="宋体" w:eastAsia="宋体" w:cs="宋体"/>
          <w:sz w:val="21"/>
          <w:szCs w:val="21"/>
        </w:rPr>
        <w:t>号）规定的划分标准，本投标人为</w:t>
      </w:r>
      <w:r>
        <w:rPr>
          <w:rFonts w:hint="eastAsia" w:ascii="宋体" w:hAnsi="宋体" w:eastAsia="宋体" w:cs="宋体"/>
          <w:sz w:val="21"/>
          <w:szCs w:val="21"/>
          <w:u w:val="single"/>
        </w:rPr>
        <w:t>  （填写“中型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w:t>
      </w:r>
    </w:p>
    <w:p w14:paraId="3E79676E">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2、本投标人参加贵单位组织的</w:t>
      </w:r>
      <w:r>
        <w:rPr>
          <w:rFonts w:hint="eastAsia" w:ascii="宋体" w:hAnsi="宋体" w:eastAsia="宋体" w:cs="宋体"/>
          <w:sz w:val="21"/>
          <w:szCs w:val="21"/>
          <w:u w:val="single"/>
        </w:rPr>
        <w:t> （填写“项目名称”） </w:t>
      </w:r>
      <w:r>
        <w:rPr>
          <w:rFonts w:hint="eastAsia" w:ascii="宋体" w:hAnsi="宋体" w:eastAsia="宋体" w:cs="宋体"/>
          <w:sz w:val="21"/>
          <w:szCs w:val="21"/>
        </w:rPr>
        <w:t>项目采购活动，其中：</w:t>
      </w:r>
    </w:p>
    <w:p w14:paraId="44A719E8">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①货物（不包括使用大型企业注册商标的货物）：</w:t>
      </w:r>
    </w:p>
    <w:p w14:paraId="40314BE4">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）提供本投标人制造的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货物；或</w:t>
      </w:r>
    </w:p>
    <w:p w14:paraId="1637111E">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）提供其他</w:t>
      </w:r>
      <w:r>
        <w:rPr>
          <w:rFonts w:hint="eastAsia" w:ascii="宋体" w:hAnsi="宋体" w:eastAsia="宋体" w:cs="宋体"/>
          <w:sz w:val="21"/>
          <w:szCs w:val="21"/>
          <w:u w:val="single"/>
        </w:rPr>
        <w:t>（填写“中型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w:t>
      </w:r>
    </w:p>
    <w:p w14:paraId="4BC40F9C">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②工程：</w:t>
      </w:r>
    </w:p>
    <w:p w14:paraId="2D924AEF">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）由本投标人承担的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工程。</w:t>
      </w:r>
    </w:p>
    <w:p w14:paraId="7C4CCFF6">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③服务：</w:t>
      </w:r>
    </w:p>
    <w:p w14:paraId="61323D1F">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）由本投标人提供的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服务。</w:t>
      </w:r>
    </w:p>
    <w:p w14:paraId="631EB43E">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本投标人对上述声明的真实性负责。如有虚假，将依法承担相应责任。</w:t>
      </w:r>
    </w:p>
    <w:p w14:paraId="7A835815">
      <w:pPr>
        <w:pStyle w:val="5"/>
        <w:keepNext w:val="0"/>
        <w:keepLines w:val="0"/>
        <w:widowControl/>
        <w:suppressLineNumbers w:val="0"/>
        <w:spacing w:before="0" w:beforeAutospacing="0" w:after="150" w:afterAutospacing="0"/>
        <w:ind w:left="0" w:right="0" w:firstLine="420"/>
      </w:pPr>
      <w:r>
        <w:rPr>
          <w:rFonts w:hint="default" w:ascii="Calibri" w:hAnsi="Calibri" w:cs="Calibri"/>
          <w:sz w:val="21"/>
          <w:szCs w:val="21"/>
        </w:rPr>
        <w:t> </w:t>
      </w:r>
    </w:p>
    <w:p w14:paraId="65F7665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6C4E741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1、请投标人按照实际情况编制填写本声明函，并在相应的（）中打“√”。</w:t>
      </w:r>
    </w:p>
    <w:p w14:paraId="748F7F3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2、投标人应认真对照《工业和信息化部、国家统计局、国家发展和改革委员会、财政部关于印发中小企业划型标准规定的通知》（工信部联企业</w:t>
      </w:r>
      <w:r>
        <w:rPr>
          <w:rFonts w:hint="default" w:ascii="Calibri" w:hAnsi="Calibri" w:eastAsia="宋体" w:cs="Calibri"/>
          <w:sz w:val="21"/>
          <w:szCs w:val="21"/>
        </w:rPr>
        <w:t>[2011]300</w:t>
      </w:r>
      <w:r>
        <w:rPr>
          <w:rFonts w:hint="eastAsia" w:ascii="宋体" w:hAnsi="宋体" w:eastAsia="宋体" w:cs="宋体"/>
          <w:sz w:val="21"/>
          <w:szCs w:val="21"/>
        </w:rPr>
        <w:t>号）规定的划分标准，并按照国家统计局现行的关于统计上大中小微型企业划分办法的有关规定准确划分企业类型。</w:t>
      </w:r>
    </w:p>
    <w:p w14:paraId="4FE8F6D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3、若《中小企业声明函》内容不真实，</w:t>
      </w:r>
      <w:r>
        <w:rPr>
          <w:rStyle w:val="8"/>
          <w:rFonts w:hint="eastAsia" w:ascii="宋体" w:hAnsi="宋体" w:eastAsia="宋体" w:cs="宋体"/>
          <w:b/>
          <w:sz w:val="21"/>
          <w:szCs w:val="21"/>
        </w:rPr>
        <w:t>视为提供虚假材料</w:t>
      </w:r>
      <w:r>
        <w:rPr>
          <w:rFonts w:hint="eastAsia" w:ascii="宋体" w:hAnsi="宋体" w:eastAsia="宋体" w:cs="宋体"/>
          <w:sz w:val="21"/>
          <w:szCs w:val="21"/>
        </w:rPr>
        <w:t>。</w:t>
      </w:r>
    </w:p>
    <w:p w14:paraId="05CF15C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4、投标人为监狱企业的，可不填写本声明函。</w:t>
      </w:r>
    </w:p>
    <w:p w14:paraId="49B9181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5、投标人为残疾人福利性单位的，可不填写本声明函。</w:t>
      </w:r>
    </w:p>
    <w:p w14:paraId="16367B9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6、纸质投标文件正本中的本声明函（若有）应为原件。</w:t>
      </w:r>
    </w:p>
    <w:p w14:paraId="40B1A19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4E80AE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4B07DB5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33D1225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67941DC3">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r>
        <w:rPr>
          <w:rStyle w:val="8"/>
          <w:rFonts w:hint="eastAsia" w:ascii="宋体" w:hAnsi="宋体" w:eastAsia="宋体" w:cs="宋体"/>
          <w:b/>
          <w:sz w:val="21"/>
          <w:szCs w:val="21"/>
        </w:rPr>
        <w:t>三-2-③小型、微型企业等证明材料（价格扣除适用，若有）</w:t>
      </w:r>
    </w:p>
    <w:p w14:paraId="2D3229E2">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14:paraId="472ABA7B">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14:paraId="17F1AC6D">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14:paraId="224A41F1">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14:paraId="608F82C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1、投标人应按照招标文件要求提供相应证明材料，证明材料应与《中小企业声明函》的内容相一致，否则视为《中小企业声明函》内容不真实。</w:t>
      </w:r>
    </w:p>
    <w:p w14:paraId="1BBC3C2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2、投标人为监狱企业的，根据其提供的由省级以上监狱管理局、戒毒管理局（含新疆生产建设兵团）出具的属于监狱企业的证明文件进行认定，监狱企业视同小型、微型企业。</w:t>
      </w:r>
    </w:p>
    <w:p w14:paraId="636C0AD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3、投标人为残疾人福利性单位的，根据其提供的《残疾人福利性单位声明函》（格式附后）进行认定，残疾人福利性单位视同小型、微型企业。残疾人福利性单位属于小型、微型企业的，不重复享受政策。</w:t>
      </w:r>
    </w:p>
    <w:p w14:paraId="64D2F30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5C06C9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2D2100BE">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br w:type="textWrapping"/>
      </w:r>
      <w:r>
        <w:rPr>
          <w:rFonts w:hint="eastAsia" w:ascii="宋体" w:hAnsi="宋体" w:eastAsia="宋体" w:cs="宋体"/>
          <w:sz w:val="21"/>
          <w:szCs w:val="21"/>
        </w:rPr>
        <w:t>附：</w:t>
      </w:r>
    </w:p>
    <w:p w14:paraId="1A53D484">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残疾人福利性单位声明函（价格扣除适用，若有）</w:t>
      </w:r>
    </w:p>
    <w:p w14:paraId="4F24FF42">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14:paraId="6A53B1C1">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本投标人郑重声明，根据《财政部 民政部 中国残疾人联合会关于促进残疾人就业政府采购政策的通知》（财库[2017]141号）的规定，本投标人为符合条件的残疾人福利性单位，且本投标人参加贵单位的</w:t>
      </w:r>
      <w:r>
        <w:rPr>
          <w:rFonts w:hint="eastAsia" w:ascii="宋体" w:hAnsi="宋体" w:eastAsia="宋体" w:cs="宋体"/>
          <w:sz w:val="21"/>
          <w:szCs w:val="21"/>
          <w:u w:val="single"/>
        </w:rPr>
        <w:t>（填写“项目名称”）</w:t>
      </w:r>
      <w:r>
        <w:rPr>
          <w:rFonts w:hint="eastAsia" w:ascii="宋体" w:hAnsi="宋体" w:eastAsia="宋体" w:cs="宋体"/>
          <w:sz w:val="21"/>
          <w:szCs w:val="21"/>
        </w:rPr>
        <w:t>项目采购活动：</w:t>
      </w:r>
    </w:p>
    <w:p w14:paraId="03D8C4EE">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）提供本投标人制造的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w:t>
      </w:r>
    </w:p>
    <w:p w14:paraId="64772A96">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）由本投标人承担的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工程，</w:t>
      </w:r>
    </w:p>
    <w:p w14:paraId="3488D804">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）由本投标人提供的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服务；或</w:t>
      </w:r>
    </w:p>
    <w:p w14:paraId="251033FD">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）提供其他残疾人福利性单位制造的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货物（不包括使用非残疾人福利性单位注册商标的货物）。</w:t>
      </w:r>
    </w:p>
    <w:p w14:paraId="56B5554D">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本投标人对上述声明的真实性负责。如有虚假，将依法承担相应责任。</w:t>
      </w:r>
    </w:p>
    <w:p w14:paraId="3E82EEEB">
      <w:pPr>
        <w:pStyle w:val="5"/>
        <w:keepNext w:val="0"/>
        <w:keepLines w:val="0"/>
        <w:widowControl/>
        <w:suppressLineNumbers w:val="0"/>
        <w:spacing w:before="0" w:beforeAutospacing="0" w:after="150" w:afterAutospacing="0"/>
        <w:ind w:left="0" w:right="0" w:firstLine="420"/>
      </w:pPr>
      <w:r>
        <w:rPr>
          <w:rFonts w:hint="default" w:ascii="Calibri" w:hAnsi="Calibri" w:cs="Calibri"/>
          <w:sz w:val="21"/>
          <w:szCs w:val="21"/>
        </w:rPr>
        <w:t> </w:t>
      </w:r>
    </w:p>
    <w:p w14:paraId="40C6ABB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0FCBF85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1、请投标人按照实际情况编制填写本声明函，并在相应的（）中打“√”。</w:t>
      </w:r>
    </w:p>
    <w:p w14:paraId="0EB69B3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2、纸质投标文件正本中的本声明函（若有）应为原件。</w:t>
      </w:r>
    </w:p>
    <w:p w14:paraId="32E7F87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3、若《残疾人福利性单位声明函》内容不真实，</w:t>
      </w:r>
      <w:r>
        <w:rPr>
          <w:rStyle w:val="8"/>
          <w:rFonts w:hint="eastAsia" w:ascii="宋体" w:hAnsi="宋体" w:eastAsia="宋体" w:cs="宋体"/>
          <w:b/>
          <w:sz w:val="21"/>
          <w:szCs w:val="21"/>
        </w:rPr>
        <w:t>视为提供虚假材料</w:t>
      </w:r>
      <w:r>
        <w:rPr>
          <w:rFonts w:hint="eastAsia" w:ascii="宋体" w:hAnsi="宋体" w:eastAsia="宋体" w:cs="宋体"/>
          <w:sz w:val="21"/>
          <w:szCs w:val="21"/>
        </w:rPr>
        <w:t>。</w:t>
      </w:r>
    </w:p>
    <w:p w14:paraId="5A7B8DC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4、符合财政部、民政部、中国残联文件（财库</w:t>
      </w:r>
      <w:r>
        <w:rPr>
          <w:rFonts w:hint="default" w:ascii="Calibri" w:hAnsi="Calibri" w:eastAsia="宋体" w:cs="Calibri"/>
          <w:sz w:val="21"/>
          <w:szCs w:val="21"/>
        </w:rPr>
        <w:t>[2017]141</w:t>
      </w:r>
      <w:r>
        <w:rPr>
          <w:rFonts w:hint="eastAsia" w:ascii="宋体" w:hAnsi="宋体" w:eastAsia="宋体" w:cs="宋体"/>
          <w:sz w:val="21"/>
          <w:szCs w:val="21"/>
        </w:rPr>
        <w:t>号）规定的残疾人福利性单位提供本单位制造的货物、承担的工程或服务，或提供其他残疾人福利性单位制造的货物（不包括使用非残疾人福利性单位注册商标的货物）</w:t>
      </w:r>
      <w:r>
        <w:rPr>
          <w:rStyle w:val="8"/>
          <w:rFonts w:hint="eastAsia" w:ascii="宋体" w:hAnsi="宋体" w:eastAsia="宋体" w:cs="宋体"/>
          <w:b/>
          <w:sz w:val="21"/>
          <w:szCs w:val="21"/>
        </w:rPr>
        <w:t>可享受价格扣除。</w:t>
      </w:r>
    </w:p>
    <w:p w14:paraId="2F4E82A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7A0F935">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7060429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27DB9A3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6110595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787D8D2D">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14:paraId="14F47076">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DABE2AB">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A924523">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13F451E">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C3EA367">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4B6D2C5">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0882A67">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3505FD3">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3C140B0">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4AC6329">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9A338F7">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8A0FAAC">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2B9DA92">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3EB9302">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C9D3A59">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1479F66">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22B8E92">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1692EC5">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12C116C">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950A054">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7EA22DE">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B631D60">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三-3招标文件规定的其他价格扣除证明材料（若有）</w:t>
      </w:r>
    </w:p>
    <w:p w14:paraId="50022DF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232288C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9A50538">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14:paraId="7DE0D8F4">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14:paraId="10B67621">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若投标人可享受招标文件规定的除</w:t>
      </w:r>
      <w:r>
        <w:rPr>
          <w:rStyle w:val="8"/>
          <w:rFonts w:hint="eastAsia" w:ascii="宋体" w:hAnsi="宋体" w:eastAsia="宋体" w:cs="宋体"/>
          <w:b/>
          <w:sz w:val="21"/>
          <w:szCs w:val="21"/>
        </w:rPr>
        <w:t>“节能（非强制类）、环境标志产品价格扣除”及“小型、微型企业产品等价格扣除”</w:t>
      </w:r>
      <w:r>
        <w:rPr>
          <w:rFonts w:hint="eastAsia" w:ascii="宋体" w:hAnsi="宋体" w:eastAsia="宋体" w:cs="宋体"/>
          <w:sz w:val="21"/>
          <w:szCs w:val="21"/>
        </w:rPr>
        <w:t>外的其他价格扣除优惠，则投标人应按照招标文件要求提供相应证明材料。</w:t>
      </w:r>
    </w:p>
    <w:p w14:paraId="1B3AF0C0">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0C2CD01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21A17B0B">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14:paraId="50D544EA">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634429C">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1330456">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E14EAB0">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4350A5E">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D617625">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42B5DB0">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2B1F6B2">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25BB8BB">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7D85E08">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048C302">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4484D1B">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C4299BD">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6D2CE65">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56D7F20">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058185C">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F462E79">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0776F9E">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2177748">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2892186">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四、招标文件规定的加分证明材料（若有）</w:t>
      </w:r>
    </w:p>
    <w:p w14:paraId="1CE4B3A1">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四-1优先类节能产品、环境标志产品加分证明材料（若有）</w:t>
      </w:r>
    </w:p>
    <w:p w14:paraId="7864A22A">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四-1-①优先类节能产品、环境标志产品统计表（加分适用，若有）</w:t>
      </w:r>
    </w:p>
    <w:p w14:paraId="220DA7E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招标编号：</w:t>
      </w:r>
      <w:r>
        <w:rPr>
          <w:rFonts w:hint="eastAsia" w:ascii="宋体" w:hAnsi="宋体" w:eastAsia="宋体" w:cs="宋体"/>
          <w:sz w:val="21"/>
          <w:szCs w:val="21"/>
          <w:u w:val="single"/>
        </w:rPr>
        <w:t>                   </w:t>
      </w:r>
    </w:p>
    <w:p w14:paraId="74891B65">
      <w:pPr>
        <w:pStyle w:val="5"/>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货币及单位：人民币元</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215"/>
        <w:gridCol w:w="1215"/>
        <w:gridCol w:w="1215"/>
        <w:gridCol w:w="1215"/>
        <w:gridCol w:w="1215"/>
        <w:gridCol w:w="1215"/>
        <w:gridCol w:w="1230"/>
      </w:tblGrid>
      <w:tr w14:paraId="373F9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215" w:type="dxa"/>
            <w:tcBorders>
              <w:tl2br w:val="nil"/>
              <w:tr2bl w:val="nil"/>
            </w:tcBorders>
            <w:shd w:val="clear" w:color="auto" w:fill="auto"/>
            <w:tcMar>
              <w:top w:w="0" w:type="dxa"/>
              <w:left w:w="105" w:type="dxa"/>
              <w:bottom w:w="0" w:type="dxa"/>
              <w:right w:w="105" w:type="dxa"/>
            </w:tcMar>
            <w:vAlign w:val="center"/>
          </w:tcPr>
          <w:p w14:paraId="46E9CCEE">
            <w:pPr>
              <w:keepNext w:val="0"/>
              <w:keepLines w:val="0"/>
              <w:widowControl/>
              <w:suppressLineNumbers w:val="0"/>
              <w:jc w:val="left"/>
            </w:pPr>
          </w:p>
        </w:tc>
        <w:tc>
          <w:tcPr>
            <w:tcW w:w="7305" w:type="dxa"/>
            <w:gridSpan w:val="6"/>
            <w:tcBorders>
              <w:tl2br w:val="nil"/>
              <w:tr2bl w:val="nil"/>
            </w:tcBorders>
            <w:shd w:val="clear" w:color="auto" w:fill="auto"/>
            <w:tcMar>
              <w:top w:w="0" w:type="dxa"/>
              <w:left w:w="105" w:type="dxa"/>
              <w:bottom w:w="0" w:type="dxa"/>
              <w:right w:w="105" w:type="dxa"/>
            </w:tcMar>
            <w:vAlign w:val="center"/>
          </w:tcPr>
          <w:p w14:paraId="0235C3FA">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本合同包内属于节能、环境标志产品的情况</w:t>
            </w:r>
          </w:p>
        </w:tc>
      </w:tr>
      <w:tr w14:paraId="1094D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215" w:type="dxa"/>
            <w:tcBorders>
              <w:tl2br w:val="nil"/>
              <w:tr2bl w:val="nil"/>
            </w:tcBorders>
            <w:shd w:val="clear" w:color="auto" w:fill="auto"/>
            <w:tcMar>
              <w:top w:w="0" w:type="dxa"/>
              <w:left w:w="105" w:type="dxa"/>
              <w:bottom w:w="0" w:type="dxa"/>
              <w:right w:w="105" w:type="dxa"/>
            </w:tcMar>
            <w:vAlign w:val="center"/>
          </w:tcPr>
          <w:p w14:paraId="360C4FCC">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1215" w:type="dxa"/>
            <w:tcBorders>
              <w:tl2br w:val="nil"/>
              <w:tr2bl w:val="nil"/>
            </w:tcBorders>
            <w:shd w:val="clear" w:color="auto" w:fill="auto"/>
            <w:tcMar>
              <w:top w:w="0" w:type="dxa"/>
              <w:left w:w="105" w:type="dxa"/>
              <w:bottom w:w="0" w:type="dxa"/>
              <w:right w:w="105" w:type="dxa"/>
            </w:tcMar>
            <w:vAlign w:val="center"/>
          </w:tcPr>
          <w:p w14:paraId="688E47AC">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1215" w:type="dxa"/>
            <w:tcBorders>
              <w:tl2br w:val="nil"/>
              <w:tr2bl w:val="nil"/>
            </w:tcBorders>
            <w:shd w:val="clear" w:color="auto" w:fill="auto"/>
            <w:tcMar>
              <w:top w:w="0" w:type="dxa"/>
              <w:left w:w="105" w:type="dxa"/>
              <w:bottom w:w="0" w:type="dxa"/>
              <w:right w:w="105" w:type="dxa"/>
            </w:tcMar>
            <w:vAlign w:val="center"/>
          </w:tcPr>
          <w:p w14:paraId="3F9A20EF">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货物名称</w:t>
            </w:r>
          </w:p>
        </w:tc>
        <w:tc>
          <w:tcPr>
            <w:tcW w:w="1215" w:type="dxa"/>
            <w:tcBorders>
              <w:tl2br w:val="nil"/>
              <w:tr2bl w:val="nil"/>
            </w:tcBorders>
            <w:shd w:val="clear" w:color="auto" w:fill="auto"/>
            <w:tcMar>
              <w:top w:w="0" w:type="dxa"/>
              <w:left w:w="105" w:type="dxa"/>
              <w:bottom w:w="0" w:type="dxa"/>
              <w:right w:w="105" w:type="dxa"/>
            </w:tcMar>
            <w:vAlign w:val="center"/>
          </w:tcPr>
          <w:p w14:paraId="70D2FF3B">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单价</w:t>
            </w:r>
          </w:p>
          <w:p w14:paraId="019C8D7E">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1215" w:type="dxa"/>
            <w:tcBorders>
              <w:tl2br w:val="nil"/>
              <w:tr2bl w:val="nil"/>
            </w:tcBorders>
            <w:shd w:val="clear" w:color="auto" w:fill="auto"/>
            <w:tcMar>
              <w:top w:w="0" w:type="dxa"/>
              <w:left w:w="105" w:type="dxa"/>
              <w:bottom w:w="0" w:type="dxa"/>
              <w:right w:w="105" w:type="dxa"/>
            </w:tcMar>
            <w:vAlign w:val="center"/>
          </w:tcPr>
          <w:p w14:paraId="589A6D6B">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数量</w:t>
            </w:r>
          </w:p>
        </w:tc>
        <w:tc>
          <w:tcPr>
            <w:tcW w:w="1215" w:type="dxa"/>
            <w:tcBorders>
              <w:tl2br w:val="nil"/>
              <w:tr2bl w:val="nil"/>
            </w:tcBorders>
            <w:shd w:val="clear" w:color="auto" w:fill="auto"/>
            <w:tcMar>
              <w:top w:w="0" w:type="dxa"/>
              <w:left w:w="105" w:type="dxa"/>
              <w:bottom w:w="0" w:type="dxa"/>
              <w:right w:w="105" w:type="dxa"/>
            </w:tcMar>
            <w:vAlign w:val="center"/>
          </w:tcPr>
          <w:p w14:paraId="52D83D8C">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总价</w:t>
            </w:r>
          </w:p>
          <w:p w14:paraId="3B496274">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1230" w:type="dxa"/>
            <w:tcBorders>
              <w:tl2br w:val="nil"/>
              <w:tr2bl w:val="nil"/>
            </w:tcBorders>
            <w:shd w:val="clear" w:color="auto" w:fill="auto"/>
            <w:tcMar>
              <w:top w:w="0" w:type="dxa"/>
              <w:left w:w="105" w:type="dxa"/>
              <w:bottom w:w="0" w:type="dxa"/>
              <w:right w:w="105" w:type="dxa"/>
            </w:tcMar>
            <w:vAlign w:val="center"/>
          </w:tcPr>
          <w:p w14:paraId="24506B28">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认证种类</w:t>
            </w:r>
          </w:p>
        </w:tc>
      </w:tr>
      <w:tr w14:paraId="5822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215" w:type="dxa"/>
            <w:vMerge w:val="restart"/>
            <w:tcBorders>
              <w:tl2br w:val="nil"/>
              <w:tr2bl w:val="nil"/>
            </w:tcBorders>
            <w:shd w:val="clear" w:color="auto" w:fill="auto"/>
            <w:tcMar>
              <w:top w:w="0" w:type="dxa"/>
              <w:left w:w="105" w:type="dxa"/>
              <w:bottom w:w="0" w:type="dxa"/>
              <w:right w:w="105" w:type="dxa"/>
            </w:tcMar>
            <w:vAlign w:val="center"/>
          </w:tcPr>
          <w:p w14:paraId="498CBD80">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1215" w:type="dxa"/>
            <w:tcBorders>
              <w:tl2br w:val="nil"/>
              <w:tr2bl w:val="nil"/>
            </w:tcBorders>
            <w:shd w:val="clear" w:color="auto" w:fill="auto"/>
            <w:tcMar>
              <w:top w:w="0" w:type="dxa"/>
              <w:left w:w="105" w:type="dxa"/>
              <w:bottom w:w="0" w:type="dxa"/>
              <w:right w:w="105" w:type="dxa"/>
            </w:tcMar>
            <w:vAlign w:val="center"/>
          </w:tcPr>
          <w:p w14:paraId="6CE2E872">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1215" w:type="dxa"/>
            <w:tcBorders>
              <w:tl2br w:val="nil"/>
              <w:tr2bl w:val="nil"/>
            </w:tcBorders>
            <w:shd w:val="clear" w:color="auto" w:fill="auto"/>
            <w:tcMar>
              <w:top w:w="0" w:type="dxa"/>
              <w:left w:w="105" w:type="dxa"/>
              <w:bottom w:w="0" w:type="dxa"/>
              <w:right w:w="105" w:type="dxa"/>
            </w:tcMar>
            <w:vAlign w:val="center"/>
          </w:tcPr>
          <w:p w14:paraId="08103FC7">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14:paraId="34065058">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14:paraId="2B49928A">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14:paraId="045EB574">
            <w:pPr>
              <w:keepNext w:val="0"/>
              <w:keepLines w:val="0"/>
              <w:widowControl/>
              <w:suppressLineNumbers w:val="0"/>
              <w:jc w:val="left"/>
            </w:pPr>
          </w:p>
        </w:tc>
        <w:tc>
          <w:tcPr>
            <w:tcW w:w="1230" w:type="dxa"/>
            <w:tcBorders>
              <w:tl2br w:val="nil"/>
              <w:tr2bl w:val="nil"/>
            </w:tcBorders>
            <w:shd w:val="clear" w:color="auto" w:fill="auto"/>
            <w:tcMar>
              <w:top w:w="0" w:type="dxa"/>
              <w:left w:w="105" w:type="dxa"/>
              <w:bottom w:w="0" w:type="dxa"/>
              <w:right w:w="105" w:type="dxa"/>
            </w:tcMar>
            <w:vAlign w:val="center"/>
          </w:tcPr>
          <w:p w14:paraId="3562E065">
            <w:pPr>
              <w:keepNext w:val="0"/>
              <w:keepLines w:val="0"/>
              <w:widowControl/>
              <w:suppressLineNumbers w:val="0"/>
              <w:jc w:val="left"/>
            </w:pPr>
          </w:p>
        </w:tc>
      </w:tr>
      <w:tr w14:paraId="43AC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215" w:type="dxa"/>
            <w:vMerge w:val="continue"/>
            <w:tcBorders>
              <w:tl2br w:val="nil"/>
              <w:tr2bl w:val="nil"/>
            </w:tcBorders>
            <w:shd w:val="clear" w:color="auto" w:fill="auto"/>
            <w:tcMar>
              <w:top w:w="0" w:type="dxa"/>
              <w:left w:w="105" w:type="dxa"/>
              <w:bottom w:w="0" w:type="dxa"/>
              <w:right w:w="105" w:type="dxa"/>
            </w:tcMar>
            <w:vAlign w:val="center"/>
          </w:tcPr>
          <w:p w14:paraId="5991D7FE">
            <w:pPr>
              <w:rPr>
                <w:rFonts w:hint="eastAsia" w:ascii="宋体"/>
                <w:sz w:val="24"/>
                <w:szCs w:val="24"/>
              </w:rPr>
            </w:pPr>
          </w:p>
        </w:tc>
        <w:tc>
          <w:tcPr>
            <w:tcW w:w="1215" w:type="dxa"/>
            <w:tcBorders>
              <w:tl2br w:val="nil"/>
              <w:tr2bl w:val="nil"/>
            </w:tcBorders>
            <w:shd w:val="clear" w:color="auto" w:fill="auto"/>
            <w:tcMar>
              <w:top w:w="0" w:type="dxa"/>
              <w:left w:w="105" w:type="dxa"/>
              <w:bottom w:w="0" w:type="dxa"/>
              <w:right w:w="105" w:type="dxa"/>
            </w:tcMar>
            <w:vAlign w:val="center"/>
          </w:tcPr>
          <w:p w14:paraId="01284F45">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1215" w:type="dxa"/>
            <w:tcBorders>
              <w:tl2br w:val="nil"/>
              <w:tr2bl w:val="nil"/>
            </w:tcBorders>
            <w:shd w:val="clear" w:color="auto" w:fill="auto"/>
            <w:tcMar>
              <w:top w:w="0" w:type="dxa"/>
              <w:left w:w="105" w:type="dxa"/>
              <w:bottom w:w="0" w:type="dxa"/>
              <w:right w:w="105" w:type="dxa"/>
            </w:tcMar>
            <w:vAlign w:val="center"/>
          </w:tcPr>
          <w:p w14:paraId="2203CE77">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14:paraId="447CA55A">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14:paraId="34557FFE">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14:paraId="08A9F08E">
            <w:pPr>
              <w:keepNext w:val="0"/>
              <w:keepLines w:val="0"/>
              <w:widowControl/>
              <w:suppressLineNumbers w:val="0"/>
              <w:jc w:val="left"/>
            </w:pPr>
          </w:p>
        </w:tc>
        <w:tc>
          <w:tcPr>
            <w:tcW w:w="1230" w:type="dxa"/>
            <w:tcBorders>
              <w:tl2br w:val="nil"/>
              <w:tr2bl w:val="nil"/>
            </w:tcBorders>
            <w:shd w:val="clear" w:color="auto" w:fill="auto"/>
            <w:tcMar>
              <w:top w:w="0" w:type="dxa"/>
              <w:left w:w="105" w:type="dxa"/>
              <w:bottom w:w="0" w:type="dxa"/>
              <w:right w:w="105" w:type="dxa"/>
            </w:tcMar>
            <w:vAlign w:val="center"/>
          </w:tcPr>
          <w:p w14:paraId="3D5AE8D6">
            <w:pPr>
              <w:keepNext w:val="0"/>
              <w:keepLines w:val="0"/>
              <w:widowControl/>
              <w:suppressLineNumbers w:val="0"/>
              <w:jc w:val="left"/>
            </w:pPr>
          </w:p>
        </w:tc>
      </w:tr>
      <w:tr w14:paraId="5C02A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215" w:type="dxa"/>
            <w:tcBorders>
              <w:tl2br w:val="nil"/>
              <w:tr2bl w:val="nil"/>
            </w:tcBorders>
            <w:shd w:val="clear" w:color="auto" w:fill="auto"/>
            <w:tcMar>
              <w:top w:w="0" w:type="dxa"/>
              <w:left w:w="105" w:type="dxa"/>
              <w:bottom w:w="0" w:type="dxa"/>
              <w:right w:w="105" w:type="dxa"/>
            </w:tcMar>
            <w:vAlign w:val="center"/>
          </w:tcPr>
          <w:p w14:paraId="455B0DBB">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c>
          <w:tcPr>
            <w:tcW w:w="7305" w:type="dxa"/>
            <w:gridSpan w:val="6"/>
            <w:tcBorders>
              <w:tl2br w:val="nil"/>
              <w:tr2bl w:val="nil"/>
            </w:tcBorders>
            <w:shd w:val="clear" w:color="auto" w:fill="auto"/>
            <w:tcMar>
              <w:top w:w="0" w:type="dxa"/>
              <w:left w:w="105" w:type="dxa"/>
              <w:bottom w:w="0" w:type="dxa"/>
              <w:right w:w="105" w:type="dxa"/>
            </w:tcMar>
            <w:vAlign w:val="top"/>
          </w:tcPr>
          <w:p w14:paraId="5C7762C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a.合同包内属于节能、环境标志产品的报价总金额：</w:t>
            </w:r>
            <w:r>
              <w:rPr>
                <w:rFonts w:hint="eastAsia" w:ascii="宋体" w:hAnsi="宋体" w:eastAsia="宋体" w:cs="宋体"/>
                <w:sz w:val="21"/>
                <w:szCs w:val="21"/>
                <w:u w:val="single"/>
              </w:rPr>
              <w:t>              </w:t>
            </w:r>
            <w:r>
              <w:rPr>
                <w:rFonts w:hint="eastAsia" w:ascii="宋体" w:hAnsi="宋体" w:eastAsia="宋体" w:cs="宋体"/>
                <w:sz w:val="21"/>
                <w:szCs w:val="21"/>
              </w:rPr>
              <w:t>；</w:t>
            </w:r>
          </w:p>
          <w:p w14:paraId="1D64EA7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b.合同包投标总价（报价总金额）：</w:t>
            </w:r>
            <w:r>
              <w:rPr>
                <w:rFonts w:hint="eastAsia" w:ascii="宋体" w:hAnsi="宋体" w:eastAsia="宋体" w:cs="宋体"/>
                <w:sz w:val="21"/>
                <w:szCs w:val="21"/>
                <w:u w:val="single"/>
              </w:rPr>
              <w:t>              </w:t>
            </w:r>
            <w:r>
              <w:rPr>
                <w:rFonts w:hint="eastAsia" w:ascii="宋体" w:hAnsi="宋体" w:eastAsia="宋体" w:cs="宋体"/>
                <w:sz w:val="21"/>
                <w:szCs w:val="21"/>
              </w:rPr>
              <w:t>；</w:t>
            </w:r>
          </w:p>
          <w:p w14:paraId="498CEE5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c.“合同包内属于节能、环境标志产品的报价总金额”占“合同包投标总价（报价总金额）”的比例（以</w:t>
            </w:r>
            <w:r>
              <w:rPr>
                <w:rFonts w:hint="default" w:ascii="Calibri" w:hAnsi="Calibri" w:eastAsia="宋体" w:cs="Calibri"/>
                <w:sz w:val="21"/>
                <w:szCs w:val="21"/>
              </w:rPr>
              <w:t>%</w:t>
            </w:r>
            <w:r>
              <w:rPr>
                <w:rFonts w:hint="eastAsia" w:ascii="宋体" w:hAnsi="宋体" w:eastAsia="宋体" w:cs="宋体"/>
                <w:sz w:val="21"/>
                <w:szCs w:val="21"/>
              </w:rPr>
              <w:t>列示）：</w:t>
            </w:r>
            <w:r>
              <w:rPr>
                <w:rFonts w:hint="eastAsia" w:ascii="宋体" w:hAnsi="宋体" w:eastAsia="宋体" w:cs="宋体"/>
                <w:sz w:val="21"/>
                <w:szCs w:val="21"/>
                <w:u w:val="single"/>
              </w:rPr>
              <w:t>              </w:t>
            </w:r>
            <w:r>
              <w:rPr>
                <w:rFonts w:hint="eastAsia" w:ascii="宋体" w:hAnsi="宋体" w:eastAsia="宋体" w:cs="宋体"/>
                <w:sz w:val="21"/>
                <w:szCs w:val="21"/>
              </w:rPr>
              <w:t>。</w:t>
            </w:r>
          </w:p>
        </w:tc>
      </w:tr>
    </w:tbl>
    <w:p w14:paraId="369BE37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16FEF36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1、对节能、环境标志产品计算加分时，只依据投标文件</w:t>
      </w:r>
      <w:r>
        <w:rPr>
          <w:rStyle w:val="8"/>
          <w:rFonts w:hint="eastAsia" w:ascii="宋体" w:hAnsi="宋体" w:eastAsia="宋体" w:cs="宋体"/>
          <w:b/>
          <w:sz w:val="21"/>
          <w:szCs w:val="21"/>
        </w:rPr>
        <w:t>“四</w:t>
      </w:r>
      <w:r>
        <w:rPr>
          <w:rStyle w:val="8"/>
          <w:rFonts w:hint="default" w:ascii="Calibri" w:hAnsi="Calibri" w:eastAsia="宋体" w:cs="Calibri"/>
          <w:b/>
          <w:sz w:val="21"/>
          <w:szCs w:val="21"/>
        </w:rPr>
        <w:t>-1-</w:t>
      </w:r>
      <w:r>
        <w:rPr>
          <w:rStyle w:val="8"/>
          <w:rFonts w:hint="eastAsia" w:ascii="宋体" w:hAnsi="宋体" w:eastAsia="宋体" w:cs="宋体"/>
          <w:b/>
          <w:sz w:val="21"/>
          <w:szCs w:val="21"/>
        </w:rPr>
        <w:t>②优先类节能产品、环境标志产品加分证明材料（加分适用，若有）”。</w:t>
      </w:r>
    </w:p>
    <w:p w14:paraId="41B0658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2、本表以合同包为单位，不同合同包请分别填写；同一合同包请按照其品目号顺序分别填写。</w:t>
      </w:r>
    </w:p>
    <w:p w14:paraId="3553048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3、具体统计、计算：</w:t>
      </w:r>
    </w:p>
    <w:p w14:paraId="44E15D1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3.1</w:t>
      </w:r>
      <w:r>
        <w:rPr>
          <w:rFonts w:hint="default" w:ascii="Calibri" w:hAnsi="Calibri" w:cs="Calibri"/>
          <w:sz w:val="21"/>
          <w:szCs w:val="21"/>
        </w:rPr>
        <w:t> </w:t>
      </w:r>
      <w:r>
        <w:rPr>
          <w:rFonts w:hint="eastAsia" w:ascii="宋体" w:hAnsi="宋体" w:eastAsia="宋体" w:cs="宋体"/>
          <w:sz w:val="21"/>
          <w:szCs w:val="21"/>
        </w:rPr>
        <w:t>若节能、环境标志产品仅是构成投标产品的部件、组件或零件，则该投标产品不享受鼓励优惠政策。同一品目中各认证证书不重复计算加分。强制类节能产品不享受加分。</w:t>
      </w:r>
    </w:p>
    <w:p w14:paraId="4C4C0EF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3.2计算结果若除不尽，可四舍五入保留到小数点后两位。</w:t>
      </w:r>
    </w:p>
    <w:p w14:paraId="6CBABBE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3.3投标人应按照招标文件要求认真统计、计算，否则评标委员会不予认定。</w:t>
      </w:r>
    </w:p>
    <w:p w14:paraId="2B3F56D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3.4若无节能、环境标志产品，不填写本表，否则，</w:t>
      </w:r>
      <w:r>
        <w:rPr>
          <w:rStyle w:val="8"/>
          <w:rFonts w:hint="eastAsia" w:ascii="宋体" w:hAnsi="宋体" w:eastAsia="宋体" w:cs="宋体"/>
          <w:b/>
          <w:sz w:val="21"/>
          <w:szCs w:val="21"/>
        </w:rPr>
        <w:t>视为提供虚假材料</w:t>
      </w:r>
      <w:r>
        <w:rPr>
          <w:rFonts w:hint="eastAsia" w:ascii="宋体" w:hAnsi="宋体" w:eastAsia="宋体" w:cs="宋体"/>
          <w:sz w:val="21"/>
          <w:szCs w:val="21"/>
        </w:rPr>
        <w:t>。</w:t>
      </w:r>
    </w:p>
    <w:p w14:paraId="1F557CB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4、纸质投标文件正本中的本表（若有）应为原件。</w:t>
      </w:r>
    </w:p>
    <w:p w14:paraId="50E7BFC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6BC805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0CEA338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51495C2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7509F01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7181A02A">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 四-1-②优先类节能产品、环境标志产品证明材料（加分适用，若有）</w:t>
      </w:r>
    </w:p>
    <w:p w14:paraId="2DF37172">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14:paraId="66519C9C">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14:paraId="7099C31E">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14:paraId="576D87C5">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14:paraId="105FBCB6">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除招标文件另有规定外，投标人应按照招标文件第二章（表1）第</w:t>
      </w:r>
      <w:r>
        <w:rPr>
          <w:rFonts w:hint="default" w:ascii="Calibri" w:hAnsi="Calibri" w:eastAsia="宋体" w:cs="Calibri"/>
          <w:sz w:val="21"/>
          <w:szCs w:val="21"/>
        </w:rPr>
        <w:t>13</w:t>
      </w:r>
      <w:r>
        <w:rPr>
          <w:rFonts w:hint="eastAsia" w:ascii="宋体" w:hAnsi="宋体" w:eastAsia="宋体" w:cs="宋体"/>
          <w:sz w:val="21"/>
          <w:szCs w:val="21"/>
        </w:rPr>
        <w:t>项规定提供相应证明材料。</w:t>
      </w:r>
    </w:p>
    <w:p w14:paraId="1443B73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4DF3365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00962111">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Fonts w:hint="eastAsia" w:ascii="宋体" w:hAnsi="宋体" w:eastAsia="宋体" w:cs="宋体"/>
          <w:sz w:val="21"/>
          <w:szCs w:val="21"/>
        </w:rPr>
        <w:t>四</w:t>
      </w:r>
      <w:r>
        <w:rPr>
          <w:rStyle w:val="8"/>
          <w:rFonts w:hint="eastAsia" w:ascii="宋体" w:hAnsi="宋体" w:eastAsia="宋体" w:cs="宋体"/>
          <w:b/>
          <w:sz w:val="21"/>
          <w:szCs w:val="21"/>
        </w:rPr>
        <w:t>-2招标文件规定的其他加分证明材料（若有）</w:t>
      </w:r>
    </w:p>
    <w:p w14:paraId="4C73662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6555277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E328E7A">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14:paraId="1DF5CD4A">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14:paraId="65920104">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若投标人可享受招标文件规定的除</w:t>
      </w:r>
      <w:r>
        <w:rPr>
          <w:rStyle w:val="8"/>
          <w:rFonts w:hint="eastAsia" w:ascii="宋体" w:hAnsi="宋体" w:eastAsia="宋体" w:cs="宋体"/>
          <w:b/>
          <w:sz w:val="21"/>
          <w:szCs w:val="21"/>
        </w:rPr>
        <w:t>“优先类节能产品、环境标志产品加分”</w:t>
      </w:r>
      <w:r>
        <w:rPr>
          <w:rFonts w:hint="eastAsia" w:ascii="宋体" w:hAnsi="宋体" w:eastAsia="宋体" w:cs="宋体"/>
          <w:sz w:val="21"/>
          <w:szCs w:val="21"/>
        </w:rPr>
        <w:t>外的其他加分优惠，则投标人应按照招标文件要求提供相应证明材料。</w:t>
      </w:r>
    </w:p>
    <w:p w14:paraId="497C35E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4155B3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87871A3">
      <w:pPr>
        <w:pStyle w:val="5"/>
        <w:keepNext w:val="0"/>
        <w:keepLines w:val="0"/>
        <w:widowControl/>
        <w:suppressLineNumbers w:val="0"/>
        <w:spacing w:before="0" w:beforeAutospacing="0" w:after="150" w:afterAutospacing="0"/>
        <w:ind w:left="0" w:right="0"/>
      </w:pPr>
    </w:p>
    <w:p w14:paraId="5096893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4379542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4F7F1F0">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755AA8CD">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74303BFC">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726FD744">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18011363">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63965171">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8"/>
          <w:szCs w:val="28"/>
        </w:rPr>
        <w:t>封面格式</w:t>
      </w:r>
    </w:p>
    <w:p w14:paraId="4378B209">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765BD4DA">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006080D6">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41778061">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48"/>
          <w:szCs w:val="48"/>
        </w:rPr>
        <w:t>福建省政府采购投标文件</w:t>
      </w:r>
    </w:p>
    <w:p w14:paraId="4296BE2A">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48"/>
          <w:szCs w:val="48"/>
        </w:rPr>
        <w:t>（技术商务部分）</w:t>
      </w:r>
    </w:p>
    <w:p w14:paraId="3C807CC5">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6B04C173">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6"/>
          <w:szCs w:val="36"/>
          <w:u w:val="single"/>
        </w:rPr>
        <w:t>（填写正本或副本）</w:t>
      </w:r>
    </w:p>
    <w:p w14:paraId="11646154">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7624ABE1">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项目名称：</w:t>
      </w:r>
      <w:r>
        <w:rPr>
          <w:rStyle w:val="8"/>
          <w:rFonts w:hint="eastAsia" w:ascii="宋体" w:hAnsi="宋体" w:eastAsia="宋体" w:cs="宋体"/>
          <w:b/>
          <w:sz w:val="31"/>
          <w:szCs w:val="31"/>
          <w:u w:val="single"/>
        </w:rPr>
        <w:t>（由投标人填写）</w:t>
      </w:r>
    </w:p>
    <w:p w14:paraId="723D990E">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备案编号：</w:t>
      </w:r>
      <w:r>
        <w:rPr>
          <w:rStyle w:val="8"/>
          <w:rFonts w:hint="eastAsia" w:ascii="宋体" w:hAnsi="宋体" w:eastAsia="宋体" w:cs="宋体"/>
          <w:b/>
          <w:sz w:val="31"/>
          <w:szCs w:val="31"/>
          <w:u w:val="single"/>
        </w:rPr>
        <w:t>（由投标人填写）</w:t>
      </w:r>
    </w:p>
    <w:p w14:paraId="5D145BF9">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招标编号：</w:t>
      </w:r>
      <w:r>
        <w:rPr>
          <w:rStyle w:val="8"/>
          <w:rFonts w:hint="eastAsia" w:ascii="宋体" w:hAnsi="宋体" w:eastAsia="宋体" w:cs="宋体"/>
          <w:b/>
          <w:sz w:val="31"/>
          <w:szCs w:val="31"/>
          <w:u w:val="single"/>
        </w:rPr>
        <w:t>（由投标人填写）</w:t>
      </w:r>
    </w:p>
    <w:p w14:paraId="2240A3D4">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所投合同包：</w:t>
      </w:r>
      <w:r>
        <w:rPr>
          <w:rStyle w:val="8"/>
          <w:rFonts w:hint="eastAsia" w:ascii="宋体" w:hAnsi="宋体" w:eastAsia="宋体" w:cs="宋体"/>
          <w:b/>
          <w:sz w:val="31"/>
          <w:szCs w:val="31"/>
          <w:u w:val="single"/>
        </w:rPr>
        <w:t>（由投标人填写）</w:t>
      </w:r>
    </w:p>
    <w:p w14:paraId="685CCB1A">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77701328">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21780CD7">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1"/>
          <w:szCs w:val="31"/>
        </w:rPr>
        <w:t>投标人：</w:t>
      </w:r>
      <w:r>
        <w:rPr>
          <w:rStyle w:val="8"/>
          <w:rFonts w:hint="eastAsia" w:ascii="宋体" w:hAnsi="宋体" w:eastAsia="宋体" w:cs="宋体"/>
          <w:b/>
          <w:sz w:val="31"/>
          <w:szCs w:val="31"/>
          <w:u w:val="single"/>
        </w:rPr>
        <w:t>（填写“全称”）</w:t>
      </w:r>
    </w:p>
    <w:p w14:paraId="1D8D3E4A">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1"/>
          <w:szCs w:val="31"/>
          <w:u w:val="single"/>
        </w:rPr>
        <w:t>（由投标人填写）</w:t>
      </w:r>
      <w:r>
        <w:rPr>
          <w:rStyle w:val="8"/>
          <w:rFonts w:hint="eastAsia" w:ascii="宋体" w:hAnsi="宋体" w:eastAsia="宋体" w:cs="宋体"/>
          <w:b/>
          <w:sz w:val="31"/>
          <w:szCs w:val="31"/>
        </w:rPr>
        <w:t>年</w:t>
      </w:r>
      <w:r>
        <w:rPr>
          <w:rStyle w:val="8"/>
          <w:rFonts w:hint="eastAsia" w:ascii="宋体" w:hAnsi="宋体" w:eastAsia="宋体" w:cs="宋体"/>
          <w:b/>
          <w:sz w:val="31"/>
          <w:szCs w:val="31"/>
          <w:u w:val="single"/>
        </w:rPr>
        <w:t>（由投标人填写）</w:t>
      </w:r>
      <w:r>
        <w:rPr>
          <w:rStyle w:val="8"/>
          <w:rFonts w:hint="eastAsia" w:ascii="宋体" w:hAnsi="宋体" w:eastAsia="宋体" w:cs="宋体"/>
          <w:b/>
          <w:sz w:val="31"/>
          <w:szCs w:val="31"/>
        </w:rPr>
        <w:t>月</w:t>
      </w:r>
    </w:p>
    <w:p w14:paraId="551D57D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B6DF24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3E82193">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8"/>
          <w:szCs w:val="28"/>
        </w:rPr>
        <w:t>索引</w:t>
      </w:r>
    </w:p>
    <w:p w14:paraId="11BEF4A0">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一、标的说明一览表</w:t>
      </w:r>
    </w:p>
    <w:p w14:paraId="47564D8A">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二、技术和服务要求响应表</w:t>
      </w:r>
    </w:p>
    <w:p w14:paraId="43EBEF5A">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三、商务条件响应表</w:t>
      </w:r>
    </w:p>
    <w:p w14:paraId="0BEC65BB">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四、投标人提交的其他资料（若有）</w:t>
      </w:r>
    </w:p>
    <w:p w14:paraId="45C7F75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97E77E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4871BE69">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★注意</w:t>
      </w:r>
    </w:p>
    <w:p w14:paraId="5A83E488">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技术商务部分中不得出现报价部分的全部或部分的投标报价信息（或组成资料），否则</w:t>
      </w:r>
      <w:r>
        <w:rPr>
          <w:rStyle w:val="8"/>
          <w:rFonts w:hint="eastAsia" w:ascii="宋体" w:hAnsi="宋体" w:eastAsia="宋体" w:cs="宋体"/>
          <w:b/>
          <w:sz w:val="21"/>
          <w:szCs w:val="21"/>
        </w:rPr>
        <w:t>符合性审查不合格</w:t>
      </w:r>
      <w:r>
        <w:rPr>
          <w:rFonts w:hint="eastAsia" w:ascii="宋体" w:hAnsi="宋体" w:eastAsia="宋体" w:cs="宋体"/>
          <w:sz w:val="21"/>
          <w:szCs w:val="21"/>
        </w:rPr>
        <w:t>。</w:t>
      </w:r>
    </w:p>
    <w:p w14:paraId="1DCA9D79">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w:t>
      </w:r>
    </w:p>
    <w:p w14:paraId="2DC220EC">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w:t>
      </w:r>
    </w:p>
    <w:p w14:paraId="62813238">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14:paraId="59C4AB39">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2CF7E61">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4D1A5DA">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39EC37C">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3468091">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E4656A1">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9F340A7">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183A7C8">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DF9EC6E">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8BE7916">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BD3830B">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28D9297">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0652DAC">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1B60CD5">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一、标的说明一览表</w:t>
      </w:r>
    </w:p>
    <w:p w14:paraId="4F14F52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1D9D3D80">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959"/>
        <w:gridCol w:w="855"/>
        <w:gridCol w:w="1695"/>
        <w:gridCol w:w="855"/>
        <w:gridCol w:w="1140"/>
        <w:gridCol w:w="1140"/>
        <w:gridCol w:w="1876"/>
      </w:tblGrid>
      <w:tr w14:paraId="3AB81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959" w:type="dxa"/>
            <w:tcBorders>
              <w:tl2br w:val="nil"/>
              <w:tr2bl w:val="nil"/>
            </w:tcBorders>
            <w:shd w:val="clear" w:color="auto" w:fill="auto"/>
            <w:tcMar>
              <w:top w:w="0" w:type="dxa"/>
              <w:left w:w="105" w:type="dxa"/>
              <w:bottom w:w="0" w:type="dxa"/>
              <w:right w:w="105" w:type="dxa"/>
            </w:tcMar>
            <w:vAlign w:val="center"/>
          </w:tcPr>
          <w:p w14:paraId="53B33CCC">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855" w:type="dxa"/>
            <w:tcBorders>
              <w:tl2br w:val="nil"/>
              <w:tr2bl w:val="nil"/>
            </w:tcBorders>
            <w:shd w:val="clear" w:color="auto" w:fill="auto"/>
            <w:tcMar>
              <w:top w:w="0" w:type="dxa"/>
              <w:left w:w="105" w:type="dxa"/>
              <w:bottom w:w="0" w:type="dxa"/>
              <w:right w:w="105" w:type="dxa"/>
            </w:tcMar>
            <w:vAlign w:val="center"/>
          </w:tcPr>
          <w:p w14:paraId="6AFC0E67">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1695" w:type="dxa"/>
            <w:tcBorders>
              <w:tl2br w:val="nil"/>
              <w:tr2bl w:val="nil"/>
            </w:tcBorders>
            <w:shd w:val="clear" w:color="auto" w:fill="auto"/>
            <w:tcMar>
              <w:top w:w="0" w:type="dxa"/>
              <w:left w:w="105" w:type="dxa"/>
              <w:bottom w:w="0" w:type="dxa"/>
              <w:right w:w="105" w:type="dxa"/>
            </w:tcMar>
            <w:vAlign w:val="center"/>
          </w:tcPr>
          <w:p w14:paraId="1609FA74">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投标标的</w:t>
            </w:r>
          </w:p>
        </w:tc>
        <w:tc>
          <w:tcPr>
            <w:tcW w:w="855" w:type="dxa"/>
            <w:tcBorders>
              <w:tl2br w:val="nil"/>
              <w:tr2bl w:val="nil"/>
            </w:tcBorders>
            <w:shd w:val="clear" w:color="auto" w:fill="auto"/>
            <w:tcMar>
              <w:top w:w="0" w:type="dxa"/>
              <w:left w:w="105" w:type="dxa"/>
              <w:bottom w:w="0" w:type="dxa"/>
              <w:right w:w="105" w:type="dxa"/>
            </w:tcMar>
            <w:vAlign w:val="center"/>
          </w:tcPr>
          <w:p w14:paraId="7E86291E">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数量</w:t>
            </w:r>
          </w:p>
        </w:tc>
        <w:tc>
          <w:tcPr>
            <w:tcW w:w="1140" w:type="dxa"/>
            <w:tcBorders>
              <w:tl2br w:val="nil"/>
              <w:tr2bl w:val="nil"/>
            </w:tcBorders>
            <w:shd w:val="clear" w:color="auto" w:fill="auto"/>
            <w:tcMar>
              <w:top w:w="0" w:type="dxa"/>
              <w:left w:w="105" w:type="dxa"/>
              <w:bottom w:w="0" w:type="dxa"/>
              <w:right w:w="105" w:type="dxa"/>
            </w:tcMar>
            <w:vAlign w:val="center"/>
          </w:tcPr>
          <w:p w14:paraId="6A22F5FE">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规格</w:t>
            </w:r>
          </w:p>
        </w:tc>
        <w:tc>
          <w:tcPr>
            <w:tcW w:w="1140" w:type="dxa"/>
            <w:tcBorders>
              <w:tl2br w:val="nil"/>
              <w:tr2bl w:val="nil"/>
            </w:tcBorders>
            <w:shd w:val="clear" w:color="auto" w:fill="auto"/>
            <w:tcMar>
              <w:top w:w="0" w:type="dxa"/>
              <w:left w:w="105" w:type="dxa"/>
              <w:bottom w:w="0" w:type="dxa"/>
              <w:right w:w="105" w:type="dxa"/>
            </w:tcMar>
            <w:vAlign w:val="center"/>
          </w:tcPr>
          <w:p w14:paraId="243941AD">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来源地</w:t>
            </w:r>
          </w:p>
        </w:tc>
        <w:tc>
          <w:tcPr>
            <w:tcW w:w="1876" w:type="dxa"/>
            <w:tcBorders>
              <w:tl2br w:val="nil"/>
              <w:tr2bl w:val="nil"/>
            </w:tcBorders>
            <w:shd w:val="clear" w:color="auto" w:fill="auto"/>
            <w:tcMar>
              <w:top w:w="0" w:type="dxa"/>
              <w:left w:w="105" w:type="dxa"/>
              <w:bottom w:w="0" w:type="dxa"/>
              <w:right w:w="105" w:type="dxa"/>
            </w:tcMar>
            <w:vAlign w:val="center"/>
          </w:tcPr>
          <w:p w14:paraId="135785DD">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r>
      <w:tr w14:paraId="3EFB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959" w:type="dxa"/>
            <w:vMerge w:val="restart"/>
            <w:tcBorders>
              <w:tl2br w:val="nil"/>
              <w:tr2bl w:val="nil"/>
            </w:tcBorders>
            <w:shd w:val="clear" w:color="auto" w:fill="auto"/>
            <w:tcMar>
              <w:top w:w="0" w:type="dxa"/>
              <w:left w:w="105" w:type="dxa"/>
              <w:bottom w:w="0" w:type="dxa"/>
              <w:right w:w="105" w:type="dxa"/>
            </w:tcMar>
            <w:vAlign w:val="center"/>
          </w:tcPr>
          <w:p w14:paraId="119E8C7D">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855" w:type="dxa"/>
            <w:tcBorders>
              <w:tl2br w:val="nil"/>
              <w:tr2bl w:val="nil"/>
            </w:tcBorders>
            <w:shd w:val="clear" w:color="auto" w:fill="auto"/>
            <w:tcMar>
              <w:top w:w="0" w:type="dxa"/>
              <w:left w:w="105" w:type="dxa"/>
              <w:bottom w:w="0" w:type="dxa"/>
              <w:right w:w="105" w:type="dxa"/>
            </w:tcMar>
            <w:vAlign w:val="center"/>
          </w:tcPr>
          <w:p w14:paraId="33A75E12">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1695" w:type="dxa"/>
            <w:tcBorders>
              <w:tl2br w:val="nil"/>
              <w:tr2bl w:val="nil"/>
            </w:tcBorders>
            <w:shd w:val="clear" w:color="auto" w:fill="auto"/>
            <w:tcMar>
              <w:top w:w="0" w:type="dxa"/>
              <w:left w:w="105" w:type="dxa"/>
              <w:bottom w:w="0" w:type="dxa"/>
              <w:right w:w="105" w:type="dxa"/>
            </w:tcMar>
            <w:vAlign w:val="top"/>
          </w:tcPr>
          <w:p w14:paraId="6F3D7173">
            <w:pPr>
              <w:keepNext w:val="0"/>
              <w:keepLines w:val="0"/>
              <w:widowControl/>
              <w:suppressLineNumbers w:val="0"/>
              <w:jc w:val="left"/>
            </w:pPr>
          </w:p>
        </w:tc>
        <w:tc>
          <w:tcPr>
            <w:tcW w:w="855" w:type="dxa"/>
            <w:tcBorders>
              <w:tl2br w:val="nil"/>
              <w:tr2bl w:val="nil"/>
            </w:tcBorders>
            <w:shd w:val="clear" w:color="auto" w:fill="auto"/>
            <w:tcMar>
              <w:top w:w="0" w:type="dxa"/>
              <w:left w:w="105" w:type="dxa"/>
              <w:bottom w:w="0" w:type="dxa"/>
              <w:right w:w="105" w:type="dxa"/>
            </w:tcMar>
            <w:vAlign w:val="top"/>
          </w:tcPr>
          <w:p w14:paraId="0FC9365B">
            <w:pPr>
              <w:keepNext w:val="0"/>
              <w:keepLines w:val="0"/>
              <w:widowControl/>
              <w:suppressLineNumbers w:val="0"/>
              <w:jc w:val="left"/>
            </w:pPr>
          </w:p>
        </w:tc>
        <w:tc>
          <w:tcPr>
            <w:tcW w:w="1140" w:type="dxa"/>
            <w:tcBorders>
              <w:tl2br w:val="nil"/>
              <w:tr2bl w:val="nil"/>
            </w:tcBorders>
            <w:shd w:val="clear" w:color="auto" w:fill="auto"/>
            <w:tcMar>
              <w:top w:w="0" w:type="dxa"/>
              <w:left w:w="105" w:type="dxa"/>
              <w:bottom w:w="0" w:type="dxa"/>
              <w:right w:w="105" w:type="dxa"/>
            </w:tcMar>
            <w:vAlign w:val="top"/>
          </w:tcPr>
          <w:p w14:paraId="70C30A95">
            <w:pPr>
              <w:keepNext w:val="0"/>
              <w:keepLines w:val="0"/>
              <w:widowControl/>
              <w:suppressLineNumbers w:val="0"/>
              <w:jc w:val="left"/>
            </w:pPr>
          </w:p>
        </w:tc>
        <w:tc>
          <w:tcPr>
            <w:tcW w:w="1140" w:type="dxa"/>
            <w:tcBorders>
              <w:tl2br w:val="nil"/>
              <w:tr2bl w:val="nil"/>
            </w:tcBorders>
            <w:shd w:val="clear" w:color="auto" w:fill="auto"/>
            <w:tcMar>
              <w:top w:w="0" w:type="dxa"/>
              <w:left w:w="105" w:type="dxa"/>
              <w:bottom w:w="0" w:type="dxa"/>
              <w:right w:w="105" w:type="dxa"/>
            </w:tcMar>
            <w:vAlign w:val="top"/>
          </w:tcPr>
          <w:p w14:paraId="2637AF1F">
            <w:pPr>
              <w:keepNext w:val="0"/>
              <w:keepLines w:val="0"/>
              <w:widowControl/>
              <w:suppressLineNumbers w:val="0"/>
              <w:jc w:val="left"/>
            </w:pPr>
          </w:p>
        </w:tc>
        <w:tc>
          <w:tcPr>
            <w:tcW w:w="1876" w:type="dxa"/>
            <w:tcBorders>
              <w:tl2br w:val="nil"/>
              <w:tr2bl w:val="nil"/>
            </w:tcBorders>
            <w:shd w:val="clear" w:color="auto" w:fill="auto"/>
            <w:tcMar>
              <w:top w:w="0" w:type="dxa"/>
              <w:left w:w="105" w:type="dxa"/>
              <w:bottom w:w="0" w:type="dxa"/>
              <w:right w:w="105" w:type="dxa"/>
            </w:tcMar>
            <w:vAlign w:val="top"/>
          </w:tcPr>
          <w:p w14:paraId="20E51778">
            <w:pPr>
              <w:keepNext w:val="0"/>
              <w:keepLines w:val="0"/>
              <w:widowControl/>
              <w:suppressLineNumbers w:val="0"/>
              <w:jc w:val="left"/>
            </w:pPr>
          </w:p>
        </w:tc>
      </w:tr>
      <w:tr w14:paraId="4DC8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959" w:type="dxa"/>
            <w:vMerge w:val="continue"/>
            <w:tcBorders>
              <w:tl2br w:val="nil"/>
              <w:tr2bl w:val="nil"/>
            </w:tcBorders>
            <w:shd w:val="clear" w:color="auto" w:fill="auto"/>
            <w:tcMar>
              <w:top w:w="0" w:type="dxa"/>
              <w:left w:w="105" w:type="dxa"/>
              <w:bottom w:w="0" w:type="dxa"/>
              <w:right w:w="105" w:type="dxa"/>
            </w:tcMar>
            <w:vAlign w:val="center"/>
          </w:tcPr>
          <w:p w14:paraId="6066286D">
            <w:pPr>
              <w:rPr>
                <w:rFonts w:hint="eastAsia" w:ascii="宋体"/>
                <w:sz w:val="24"/>
                <w:szCs w:val="24"/>
              </w:rPr>
            </w:pPr>
          </w:p>
        </w:tc>
        <w:tc>
          <w:tcPr>
            <w:tcW w:w="855" w:type="dxa"/>
            <w:tcBorders>
              <w:tl2br w:val="nil"/>
              <w:tr2bl w:val="nil"/>
            </w:tcBorders>
            <w:shd w:val="clear" w:color="auto" w:fill="auto"/>
            <w:tcMar>
              <w:top w:w="0" w:type="dxa"/>
              <w:left w:w="105" w:type="dxa"/>
              <w:bottom w:w="0" w:type="dxa"/>
              <w:right w:w="105" w:type="dxa"/>
            </w:tcMar>
            <w:vAlign w:val="center"/>
          </w:tcPr>
          <w:p w14:paraId="234D0E4B">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1695" w:type="dxa"/>
            <w:tcBorders>
              <w:tl2br w:val="nil"/>
              <w:tr2bl w:val="nil"/>
            </w:tcBorders>
            <w:shd w:val="clear" w:color="auto" w:fill="auto"/>
            <w:tcMar>
              <w:top w:w="0" w:type="dxa"/>
              <w:left w:w="105" w:type="dxa"/>
              <w:bottom w:w="0" w:type="dxa"/>
              <w:right w:w="105" w:type="dxa"/>
            </w:tcMar>
            <w:vAlign w:val="top"/>
          </w:tcPr>
          <w:p w14:paraId="41E650EB">
            <w:pPr>
              <w:keepNext w:val="0"/>
              <w:keepLines w:val="0"/>
              <w:widowControl/>
              <w:suppressLineNumbers w:val="0"/>
              <w:jc w:val="left"/>
            </w:pPr>
          </w:p>
        </w:tc>
        <w:tc>
          <w:tcPr>
            <w:tcW w:w="855" w:type="dxa"/>
            <w:tcBorders>
              <w:tl2br w:val="nil"/>
              <w:tr2bl w:val="nil"/>
            </w:tcBorders>
            <w:shd w:val="clear" w:color="auto" w:fill="auto"/>
            <w:tcMar>
              <w:top w:w="0" w:type="dxa"/>
              <w:left w:w="105" w:type="dxa"/>
              <w:bottom w:w="0" w:type="dxa"/>
              <w:right w:w="105" w:type="dxa"/>
            </w:tcMar>
            <w:vAlign w:val="top"/>
          </w:tcPr>
          <w:p w14:paraId="2001271D">
            <w:pPr>
              <w:keepNext w:val="0"/>
              <w:keepLines w:val="0"/>
              <w:widowControl/>
              <w:suppressLineNumbers w:val="0"/>
              <w:jc w:val="left"/>
            </w:pPr>
          </w:p>
        </w:tc>
        <w:tc>
          <w:tcPr>
            <w:tcW w:w="1140" w:type="dxa"/>
            <w:tcBorders>
              <w:tl2br w:val="nil"/>
              <w:tr2bl w:val="nil"/>
            </w:tcBorders>
            <w:shd w:val="clear" w:color="auto" w:fill="auto"/>
            <w:tcMar>
              <w:top w:w="0" w:type="dxa"/>
              <w:left w:w="105" w:type="dxa"/>
              <w:bottom w:w="0" w:type="dxa"/>
              <w:right w:w="105" w:type="dxa"/>
            </w:tcMar>
            <w:vAlign w:val="top"/>
          </w:tcPr>
          <w:p w14:paraId="1D3C4561">
            <w:pPr>
              <w:keepNext w:val="0"/>
              <w:keepLines w:val="0"/>
              <w:widowControl/>
              <w:suppressLineNumbers w:val="0"/>
              <w:jc w:val="left"/>
            </w:pPr>
          </w:p>
        </w:tc>
        <w:tc>
          <w:tcPr>
            <w:tcW w:w="1140" w:type="dxa"/>
            <w:tcBorders>
              <w:tl2br w:val="nil"/>
              <w:tr2bl w:val="nil"/>
            </w:tcBorders>
            <w:shd w:val="clear" w:color="auto" w:fill="auto"/>
            <w:tcMar>
              <w:top w:w="0" w:type="dxa"/>
              <w:left w:w="105" w:type="dxa"/>
              <w:bottom w:w="0" w:type="dxa"/>
              <w:right w:w="105" w:type="dxa"/>
            </w:tcMar>
            <w:vAlign w:val="top"/>
          </w:tcPr>
          <w:p w14:paraId="3CF98F44">
            <w:pPr>
              <w:keepNext w:val="0"/>
              <w:keepLines w:val="0"/>
              <w:widowControl/>
              <w:suppressLineNumbers w:val="0"/>
              <w:jc w:val="left"/>
            </w:pPr>
          </w:p>
        </w:tc>
        <w:tc>
          <w:tcPr>
            <w:tcW w:w="1876" w:type="dxa"/>
            <w:tcBorders>
              <w:tl2br w:val="nil"/>
              <w:tr2bl w:val="nil"/>
            </w:tcBorders>
            <w:shd w:val="clear" w:color="auto" w:fill="auto"/>
            <w:tcMar>
              <w:top w:w="0" w:type="dxa"/>
              <w:left w:w="105" w:type="dxa"/>
              <w:bottom w:w="0" w:type="dxa"/>
              <w:right w:w="105" w:type="dxa"/>
            </w:tcMar>
            <w:vAlign w:val="top"/>
          </w:tcPr>
          <w:p w14:paraId="628DD398">
            <w:pPr>
              <w:keepNext w:val="0"/>
              <w:keepLines w:val="0"/>
              <w:widowControl/>
              <w:suppressLineNumbers w:val="0"/>
              <w:jc w:val="left"/>
            </w:pPr>
          </w:p>
        </w:tc>
      </w:tr>
      <w:tr w14:paraId="78B12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959" w:type="dxa"/>
            <w:tcBorders>
              <w:tl2br w:val="nil"/>
              <w:tr2bl w:val="nil"/>
            </w:tcBorders>
            <w:shd w:val="clear" w:color="auto" w:fill="auto"/>
            <w:tcMar>
              <w:top w:w="0" w:type="dxa"/>
              <w:left w:w="105" w:type="dxa"/>
              <w:bottom w:w="0" w:type="dxa"/>
              <w:right w:w="105" w:type="dxa"/>
            </w:tcMar>
            <w:vAlign w:val="center"/>
          </w:tcPr>
          <w:p w14:paraId="6BEECE13">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855" w:type="dxa"/>
            <w:tcBorders>
              <w:tl2br w:val="nil"/>
              <w:tr2bl w:val="nil"/>
            </w:tcBorders>
            <w:shd w:val="clear" w:color="auto" w:fill="auto"/>
            <w:tcMar>
              <w:top w:w="0" w:type="dxa"/>
              <w:left w:w="105" w:type="dxa"/>
              <w:bottom w:w="0" w:type="dxa"/>
              <w:right w:w="105" w:type="dxa"/>
            </w:tcMar>
            <w:vAlign w:val="center"/>
          </w:tcPr>
          <w:p w14:paraId="5BDCB6CB">
            <w:pPr>
              <w:keepNext w:val="0"/>
              <w:keepLines w:val="0"/>
              <w:widowControl/>
              <w:suppressLineNumbers w:val="0"/>
              <w:jc w:val="left"/>
            </w:pPr>
          </w:p>
        </w:tc>
        <w:tc>
          <w:tcPr>
            <w:tcW w:w="1695" w:type="dxa"/>
            <w:tcBorders>
              <w:tl2br w:val="nil"/>
              <w:tr2bl w:val="nil"/>
            </w:tcBorders>
            <w:shd w:val="clear" w:color="auto" w:fill="auto"/>
            <w:tcMar>
              <w:top w:w="0" w:type="dxa"/>
              <w:left w:w="105" w:type="dxa"/>
              <w:bottom w:w="0" w:type="dxa"/>
              <w:right w:w="105" w:type="dxa"/>
            </w:tcMar>
            <w:vAlign w:val="top"/>
          </w:tcPr>
          <w:p w14:paraId="112E04E7">
            <w:pPr>
              <w:keepNext w:val="0"/>
              <w:keepLines w:val="0"/>
              <w:widowControl/>
              <w:suppressLineNumbers w:val="0"/>
              <w:jc w:val="left"/>
            </w:pPr>
          </w:p>
        </w:tc>
        <w:tc>
          <w:tcPr>
            <w:tcW w:w="855" w:type="dxa"/>
            <w:tcBorders>
              <w:tl2br w:val="nil"/>
              <w:tr2bl w:val="nil"/>
            </w:tcBorders>
            <w:shd w:val="clear" w:color="auto" w:fill="auto"/>
            <w:tcMar>
              <w:top w:w="0" w:type="dxa"/>
              <w:left w:w="105" w:type="dxa"/>
              <w:bottom w:w="0" w:type="dxa"/>
              <w:right w:w="105" w:type="dxa"/>
            </w:tcMar>
            <w:vAlign w:val="top"/>
          </w:tcPr>
          <w:p w14:paraId="125014F4">
            <w:pPr>
              <w:keepNext w:val="0"/>
              <w:keepLines w:val="0"/>
              <w:widowControl/>
              <w:suppressLineNumbers w:val="0"/>
              <w:jc w:val="left"/>
            </w:pPr>
          </w:p>
        </w:tc>
        <w:tc>
          <w:tcPr>
            <w:tcW w:w="1140" w:type="dxa"/>
            <w:tcBorders>
              <w:tl2br w:val="nil"/>
              <w:tr2bl w:val="nil"/>
            </w:tcBorders>
            <w:shd w:val="clear" w:color="auto" w:fill="auto"/>
            <w:tcMar>
              <w:top w:w="0" w:type="dxa"/>
              <w:left w:w="105" w:type="dxa"/>
              <w:bottom w:w="0" w:type="dxa"/>
              <w:right w:w="105" w:type="dxa"/>
            </w:tcMar>
            <w:vAlign w:val="top"/>
          </w:tcPr>
          <w:p w14:paraId="71E5C2E3">
            <w:pPr>
              <w:keepNext w:val="0"/>
              <w:keepLines w:val="0"/>
              <w:widowControl/>
              <w:suppressLineNumbers w:val="0"/>
              <w:jc w:val="left"/>
            </w:pPr>
          </w:p>
        </w:tc>
        <w:tc>
          <w:tcPr>
            <w:tcW w:w="1140" w:type="dxa"/>
            <w:tcBorders>
              <w:tl2br w:val="nil"/>
              <w:tr2bl w:val="nil"/>
            </w:tcBorders>
            <w:shd w:val="clear" w:color="auto" w:fill="auto"/>
            <w:tcMar>
              <w:top w:w="0" w:type="dxa"/>
              <w:left w:w="105" w:type="dxa"/>
              <w:bottom w:w="0" w:type="dxa"/>
              <w:right w:w="105" w:type="dxa"/>
            </w:tcMar>
            <w:vAlign w:val="top"/>
          </w:tcPr>
          <w:p w14:paraId="7C96E521">
            <w:pPr>
              <w:keepNext w:val="0"/>
              <w:keepLines w:val="0"/>
              <w:widowControl/>
              <w:suppressLineNumbers w:val="0"/>
              <w:jc w:val="left"/>
            </w:pPr>
          </w:p>
        </w:tc>
        <w:tc>
          <w:tcPr>
            <w:tcW w:w="1876" w:type="dxa"/>
            <w:tcBorders>
              <w:tl2br w:val="nil"/>
              <w:tr2bl w:val="nil"/>
            </w:tcBorders>
            <w:shd w:val="clear" w:color="auto" w:fill="auto"/>
            <w:tcMar>
              <w:top w:w="0" w:type="dxa"/>
              <w:left w:w="105" w:type="dxa"/>
              <w:bottom w:w="0" w:type="dxa"/>
              <w:right w:w="105" w:type="dxa"/>
            </w:tcMar>
            <w:vAlign w:val="top"/>
          </w:tcPr>
          <w:p w14:paraId="29437051">
            <w:pPr>
              <w:keepNext w:val="0"/>
              <w:keepLines w:val="0"/>
              <w:widowControl/>
              <w:suppressLineNumbers w:val="0"/>
              <w:jc w:val="left"/>
            </w:pPr>
          </w:p>
        </w:tc>
      </w:tr>
    </w:tbl>
    <w:p w14:paraId="54A0DF1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430DE9E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1、本表应按照下列规定填写：</w:t>
      </w:r>
    </w:p>
    <w:p w14:paraId="78BAB72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1.1“合同包”、“品目号”、“投标标的”及“数量”应与招标文件《采购标的一览表》中的有关内容（“合同包”、“品目号”、“采购标的”及“数量”）保持一致。</w:t>
      </w:r>
    </w:p>
    <w:p w14:paraId="5695084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1.2“投标标的”为货物的：</w:t>
      </w:r>
      <w:r>
        <w:rPr>
          <w:rStyle w:val="8"/>
          <w:rFonts w:hint="eastAsia" w:ascii="宋体" w:hAnsi="宋体" w:eastAsia="宋体" w:cs="宋体"/>
          <w:b/>
          <w:sz w:val="21"/>
          <w:szCs w:val="21"/>
        </w:rPr>
        <w:t>“规格”</w:t>
      </w:r>
      <w:r>
        <w:rPr>
          <w:rFonts w:hint="eastAsia" w:ascii="宋体" w:hAnsi="宋体" w:eastAsia="宋体" w:cs="宋体"/>
          <w:sz w:val="21"/>
          <w:szCs w:val="21"/>
        </w:rPr>
        <w:t>项下应填写货物制造厂商赋予的品牌（属于节能、环保清单产品的货物，填写的品牌名称应与清单载明的品牌名称保持一致）及具体型号。</w:t>
      </w:r>
      <w:r>
        <w:rPr>
          <w:rStyle w:val="8"/>
          <w:rFonts w:hint="eastAsia" w:ascii="宋体" w:hAnsi="宋体" w:eastAsia="宋体" w:cs="宋体"/>
          <w:b/>
          <w:sz w:val="21"/>
          <w:szCs w:val="21"/>
        </w:rPr>
        <w:t>“来源地”</w:t>
      </w:r>
      <w:r>
        <w:rPr>
          <w:rFonts w:hint="eastAsia" w:ascii="宋体" w:hAnsi="宋体" w:eastAsia="宋体" w:cs="宋体"/>
          <w:sz w:val="21"/>
          <w:szCs w:val="21"/>
        </w:rPr>
        <w:t>应填写货物的原产地。</w:t>
      </w:r>
      <w:r>
        <w:rPr>
          <w:rStyle w:val="8"/>
          <w:rFonts w:hint="eastAsia" w:ascii="宋体" w:hAnsi="宋体" w:eastAsia="宋体" w:cs="宋体"/>
          <w:b/>
          <w:sz w:val="21"/>
          <w:szCs w:val="21"/>
        </w:rPr>
        <w:t>“备注”</w:t>
      </w:r>
      <w:r>
        <w:rPr>
          <w:rFonts w:hint="eastAsia" w:ascii="宋体" w:hAnsi="宋体" w:eastAsia="宋体" w:cs="宋体"/>
          <w:sz w:val="21"/>
          <w:szCs w:val="21"/>
        </w:rPr>
        <w:t>项下应填写货物的详细性能说明及供货范围清单（若有），其中供货范围清单包括但不限于：组成货物的主要件和关键件的名称、数量、原产地，专用工具（若有）的名称、数量、原产地，备品备件（若有）的名称、数量、原产地等。</w:t>
      </w:r>
    </w:p>
    <w:p w14:paraId="3907C0B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1.3“投标标的”为服务的：</w:t>
      </w:r>
      <w:r>
        <w:rPr>
          <w:rStyle w:val="8"/>
          <w:rFonts w:hint="eastAsia" w:ascii="宋体" w:hAnsi="宋体" w:eastAsia="宋体" w:cs="宋体"/>
          <w:b/>
          <w:sz w:val="21"/>
          <w:szCs w:val="21"/>
        </w:rPr>
        <w:t>“规格”</w:t>
      </w:r>
      <w:r>
        <w:rPr>
          <w:rFonts w:hint="eastAsia" w:ascii="宋体" w:hAnsi="宋体" w:eastAsia="宋体" w:cs="宋体"/>
          <w:sz w:val="21"/>
          <w:szCs w:val="21"/>
        </w:rPr>
        <w:t>项下应填写服务提供者提供的服务标准及品牌（若有）。</w:t>
      </w:r>
      <w:r>
        <w:rPr>
          <w:rStyle w:val="8"/>
          <w:rFonts w:hint="eastAsia" w:ascii="宋体" w:hAnsi="宋体" w:eastAsia="宋体" w:cs="宋体"/>
          <w:b/>
          <w:sz w:val="21"/>
          <w:szCs w:val="21"/>
        </w:rPr>
        <w:t>“来源地”</w:t>
      </w:r>
      <w:r>
        <w:rPr>
          <w:rFonts w:hint="eastAsia" w:ascii="宋体" w:hAnsi="宋体" w:eastAsia="宋体" w:cs="宋体"/>
          <w:sz w:val="21"/>
          <w:szCs w:val="21"/>
        </w:rPr>
        <w:t>应填写服务提供者的所在地。</w:t>
      </w:r>
      <w:r>
        <w:rPr>
          <w:rStyle w:val="8"/>
          <w:rFonts w:hint="eastAsia" w:ascii="宋体" w:hAnsi="宋体" w:eastAsia="宋体" w:cs="宋体"/>
          <w:b/>
          <w:sz w:val="21"/>
          <w:szCs w:val="21"/>
        </w:rPr>
        <w:t>“备注”</w:t>
      </w:r>
      <w:r>
        <w:rPr>
          <w:rFonts w:hint="eastAsia" w:ascii="宋体" w:hAnsi="宋体" w:eastAsia="宋体" w:cs="宋体"/>
          <w:sz w:val="21"/>
          <w:szCs w:val="21"/>
        </w:rPr>
        <w:t>项下应填写关于服务标准所涵盖的具体项目或内容的说明等。</w:t>
      </w:r>
    </w:p>
    <w:p w14:paraId="7F3B434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2、投标人需要说明的内容若需特殊表达，应先在本表中进行相应说明，再另页应答，否则</w:t>
      </w:r>
      <w:r>
        <w:rPr>
          <w:rStyle w:val="8"/>
          <w:rFonts w:hint="eastAsia" w:ascii="宋体" w:hAnsi="宋体" w:eastAsia="宋体" w:cs="宋体"/>
          <w:b/>
          <w:sz w:val="21"/>
          <w:szCs w:val="21"/>
        </w:rPr>
        <w:t>投标无效</w:t>
      </w:r>
      <w:r>
        <w:rPr>
          <w:rFonts w:hint="eastAsia" w:ascii="宋体" w:hAnsi="宋体" w:eastAsia="宋体" w:cs="宋体"/>
          <w:sz w:val="21"/>
          <w:szCs w:val="21"/>
        </w:rPr>
        <w:t>。</w:t>
      </w:r>
    </w:p>
    <w:p w14:paraId="5930635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3、投标文件中涉及</w:t>
      </w:r>
      <w:r>
        <w:rPr>
          <w:rStyle w:val="8"/>
          <w:rFonts w:hint="eastAsia" w:ascii="宋体" w:hAnsi="宋体" w:eastAsia="宋体" w:cs="宋体"/>
          <w:b/>
          <w:sz w:val="21"/>
          <w:szCs w:val="21"/>
        </w:rPr>
        <w:t>“投标标的”、“数量”、“规格”、“来源地”</w:t>
      </w:r>
      <w:r>
        <w:rPr>
          <w:rFonts w:hint="eastAsia" w:ascii="宋体" w:hAnsi="宋体" w:eastAsia="宋体" w:cs="宋体"/>
          <w:sz w:val="21"/>
          <w:szCs w:val="21"/>
        </w:rPr>
        <w:t>的内容若不一致，</w:t>
      </w:r>
      <w:r>
        <w:rPr>
          <w:rStyle w:val="8"/>
          <w:rFonts w:hint="eastAsia" w:ascii="宋体" w:hAnsi="宋体" w:eastAsia="宋体" w:cs="宋体"/>
          <w:b/>
          <w:sz w:val="21"/>
          <w:szCs w:val="21"/>
        </w:rPr>
        <w:t>应以本表为准</w:t>
      </w:r>
      <w:r>
        <w:rPr>
          <w:rFonts w:hint="eastAsia" w:ascii="宋体" w:hAnsi="宋体" w:eastAsia="宋体" w:cs="宋体"/>
          <w:sz w:val="21"/>
          <w:szCs w:val="21"/>
        </w:rPr>
        <w:t>。</w:t>
      </w:r>
    </w:p>
    <w:p w14:paraId="4826660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4、纸质投标文件正本中的本表应为原件。</w:t>
      </w:r>
    </w:p>
    <w:p w14:paraId="600A8F2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1FCAB51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B18516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16672EB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1C2326C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7FA3667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5F1601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1452C1A6">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r>
        <w:rPr>
          <w:rStyle w:val="8"/>
          <w:rFonts w:hint="default" w:ascii="Calibri" w:hAnsi="Calibri" w:cs="Calibri"/>
          <w:b/>
          <w:sz w:val="21"/>
          <w:szCs w:val="21"/>
        </w:rPr>
        <w:br w:type="textWrapping"/>
      </w:r>
    </w:p>
    <w:p w14:paraId="11E54CE0">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二、技术和服务要求响应表</w:t>
      </w:r>
    </w:p>
    <w:p w14:paraId="6245B81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6F785EC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960"/>
        <w:gridCol w:w="855"/>
        <w:gridCol w:w="2970"/>
        <w:gridCol w:w="1845"/>
        <w:gridCol w:w="1890"/>
      </w:tblGrid>
      <w:tr w14:paraId="6204F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55" w:hRule="atLeast"/>
        </w:trPr>
        <w:tc>
          <w:tcPr>
            <w:tcW w:w="960" w:type="dxa"/>
            <w:tcBorders>
              <w:tl2br w:val="nil"/>
              <w:tr2bl w:val="nil"/>
            </w:tcBorders>
            <w:shd w:val="clear" w:color="auto" w:fill="auto"/>
            <w:tcMar>
              <w:top w:w="0" w:type="dxa"/>
              <w:left w:w="105" w:type="dxa"/>
              <w:bottom w:w="0" w:type="dxa"/>
              <w:right w:w="105" w:type="dxa"/>
            </w:tcMar>
            <w:vAlign w:val="center"/>
          </w:tcPr>
          <w:p w14:paraId="37754B9B">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855" w:type="dxa"/>
            <w:tcBorders>
              <w:tl2br w:val="nil"/>
              <w:tr2bl w:val="nil"/>
            </w:tcBorders>
            <w:shd w:val="clear" w:color="auto" w:fill="auto"/>
            <w:tcMar>
              <w:top w:w="0" w:type="dxa"/>
              <w:left w:w="105" w:type="dxa"/>
              <w:bottom w:w="0" w:type="dxa"/>
              <w:right w:w="105" w:type="dxa"/>
            </w:tcMar>
            <w:vAlign w:val="center"/>
          </w:tcPr>
          <w:p w14:paraId="66FFAF48">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2970" w:type="dxa"/>
            <w:tcBorders>
              <w:tl2br w:val="nil"/>
              <w:tr2bl w:val="nil"/>
            </w:tcBorders>
            <w:shd w:val="clear" w:color="auto" w:fill="auto"/>
            <w:tcMar>
              <w:top w:w="0" w:type="dxa"/>
              <w:left w:w="105" w:type="dxa"/>
              <w:bottom w:w="0" w:type="dxa"/>
              <w:right w:w="105" w:type="dxa"/>
            </w:tcMar>
            <w:vAlign w:val="center"/>
          </w:tcPr>
          <w:p w14:paraId="1E5758A7">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技术和服务要求</w:t>
            </w:r>
          </w:p>
        </w:tc>
        <w:tc>
          <w:tcPr>
            <w:tcW w:w="1845" w:type="dxa"/>
            <w:tcBorders>
              <w:tl2br w:val="nil"/>
              <w:tr2bl w:val="nil"/>
            </w:tcBorders>
            <w:shd w:val="clear" w:color="auto" w:fill="auto"/>
            <w:tcMar>
              <w:top w:w="0" w:type="dxa"/>
              <w:left w:w="105" w:type="dxa"/>
              <w:bottom w:w="0" w:type="dxa"/>
              <w:right w:w="105" w:type="dxa"/>
            </w:tcMar>
            <w:vAlign w:val="center"/>
          </w:tcPr>
          <w:p w14:paraId="4EC4DA1F">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投标响应</w:t>
            </w:r>
          </w:p>
        </w:tc>
        <w:tc>
          <w:tcPr>
            <w:tcW w:w="1890" w:type="dxa"/>
            <w:tcBorders>
              <w:tl2br w:val="nil"/>
              <w:tr2bl w:val="nil"/>
            </w:tcBorders>
            <w:shd w:val="clear" w:color="auto" w:fill="auto"/>
            <w:tcMar>
              <w:top w:w="0" w:type="dxa"/>
              <w:left w:w="105" w:type="dxa"/>
              <w:bottom w:w="0" w:type="dxa"/>
              <w:right w:w="105" w:type="dxa"/>
            </w:tcMar>
            <w:vAlign w:val="center"/>
          </w:tcPr>
          <w:p w14:paraId="7E79A079">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是否偏离及说明</w:t>
            </w:r>
          </w:p>
        </w:tc>
      </w:tr>
      <w:tr w14:paraId="3E097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960" w:type="dxa"/>
            <w:vMerge w:val="restart"/>
            <w:tcBorders>
              <w:tl2br w:val="nil"/>
              <w:tr2bl w:val="nil"/>
            </w:tcBorders>
            <w:shd w:val="clear" w:color="auto" w:fill="auto"/>
            <w:tcMar>
              <w:top w:w="0" w:type="dxa"/>
              <w:left w:w="105" w:type="dxa"/>
              <w:bottom w:w="0" w:type="dxa"/>
              <w:right w:w="105" w:type="dxa"/>
            </w:tcMar>
            <w:vAlign w:val="center"/>
          </w:tcPr>
          <w:p w14:paraId="6930A7BA">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855" w:type="dxa"/>
            <w:tcBorders>
              <w:tl2br w:val="nil"/>
              <w:tr2bl w:val="nil"/>
            </w:tcBorders>
            <w:shd w:val="clear" w:color="auto" w:fill="auto"/>
            <w:tcMar>
              <w:top w:w="0" w:type="dxa"/>
              <w:left w:w="105" w:type="dxa"/>
              <w:bottom w:w="0" w:type="dxa"/>
              <w:right w:w="105" w:type="dxa"/>
            </w:tcMar>
            <w:vAlign w:val="center"/>
          </w:tcPr>
          <w:p w14:paraId="017C73EE">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2970" w:type="dxa"/>
            <w:tcBorders>
              <w:tl2br w:val="nil"/>
              <w:tr2bl w:val="nil"/>
            </w:tcBorders>
            <w:shd w:val="clear" w:color="auto" w:fill="auto"/>
            <w:tcMar>
              <w:top w:w="0" w:type="dxa"/>
              <w:left w:w="105" w:type="dxa"/>
              <w:bottom w:w="0" w:type="dxa"/>
              <w:right w:w="105" w:type="dxa"/>
            </w:tcMar>
            <w:vAlign w:val="top"/>
          </w:tcPr>
          <w:p w14:paraId="05CDF600">
            <w:pPr>
              <w:keepNext w:val="0"/>
              <w:keepLines w:val="0"/>
              <w:widowControl/>
              <w:suppressLineNumbers w:val="0"/>
              <w:jc w:val="left"/>
            </w:pPr>
          </w:p>
        </w:tc>
        <w:tc>
          <w:tcPr>
            <w:tcW w:w="1845" w:type="dxa"/>
            <w:tcBorders>
              <w:tl2br w:val="nil"/>
              <w:tr2bl w:val="nil"/>
            </w:tcBorders>
            <w:shd w:val="clear" w:color="auto" w:fill="auto"/>
            <w:tcMar>
              <w:top w:w="0" w:type="dxa"/>
              <w:left w:w="105" w:type="dxa"/>
              <w:bottom w:w="0" w:type="dxa"/>
              <w:right w:w="105" w:type="dxa"/>
            </w:tcMar>
            <w:vAlign w:val="top"/>
          </w:tcPr>
          <w:p w14:paraId="22ABB282">
            <w:pPr>
              <w:keepNext w:val="0"/>
              <w:keepLines w:val="0"/>
              <w:widowControl/>
              <w:suppressLineNumbers w:val="0"/>
              <w:jc w:val="left"/>
            </w:pPr>
          </w:p>
        </w:tc>
        <w:tc>
          <w:tcPr>
            <w:tcW w:w="1890" w:type="dxa"/>
            <w:tcBorders>
              <w:tl2br w:val="nil"/>
              <w:tr2bl w:val="nil"/>
            </w:tcBorders>
            <w:shd w:val="clear" w:color="auto" w:fill="auto"/>
            <w:tcMar>
              <w:top w:w="0" w:type="dxa"/>
              <w:left w:w="105" w:type="dxa"/>
              <w:bottom w:w="0" w:type="dxa"/>
              <w:right w:w="105" w:type="dxa"/>
            </w:tcMar>
            <w:vAlign w:val="top"/>
          </w:tcPr>
          <w:p w14:paraId="3E6A4486">
            <w:pPr>
              <w:keepNext w:val="0"/>
              <w:keepLines w:val="0"/>
              <w:widowControl/>
              <w:suppressLineNumbers w:val="0"/>
              <w:jc w:val="left"/>
            </w:pPr>
          </w:p>
        </w:tc>
      </w:tr>
      <w:tr w14:paraId="4EEF7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960" w:type="dxa"/>
            <w:vMerge w:val="continue"/>
            <w:tcBorders>
              <w:tl2br w:val="nil"/>
              <w:tr2bl w:val="nil"/>
            </w:tcBorders>
            <w:shd w:val="clear" w:color="auto" w:fill="auto"/>
            <w:tcMar>
              <w:top w:w="0" w:type="dxa"/>
              <w:left w:w="105" w:type="dxa"/>
              <w:bottom w:w="0" w:type="dxa"/>
              <w:right w:w="105" w:type="dxa"/>
            </w:tcMar>
            <w:vAlign w:val="center"/>
          </w:tcPr>
          <w:p w14:paraId="51B9CB1E">
            <w:pPr>
              <w:rPr>
                <w:rFonts w:hint="eastAsia" w:ascii="宋体"/>
                <w:sz w:val="24"/>
                <w:szCs w:val="24"/>
              </w:rPr>
            </w:pPr>
          </w:p>
        </w:tc>
        <w:tc>
          <w:tcPr>
            <w:tcW w:w="855" w:type="dxa"/>
            <w:tcBorders>
              <w:tl2br w:val="nil"/>
              <w:tr2bl w:val="nil"/>
            </w:tcBorders>
            <w:shd w:val="clear" w:color="auto" w:fill="auto"/>
            <w:tcMar>
              <w:top w:w="0" w:type="dxa"/>
              <w:left w:w="105" w:type="dxa"/>
              <w:bottom w:w="0" w:type="dxa"/>
              <w:right w:w="105" w:type="dxa"/>
            </w:tcMar>
            <w:vAlign w:val="center"/>
          </w:tcPr>
          <w:p w14:paraId="67FF30C6">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2970" w:type="dxa"/>
            <w:tcBorders>
              <w:tl2br w:val="nil"/>
              <w:tr2bl w:val="nil"/>
            </w:tcBorders>
            <w:shd w:val="clear" w:color="auto" w:fill="auto"/>
            <w:tcMar>
              <w:top w:w="0" w:type="dxa"/>
              <w:left w:w="105" w:type="dxa"/>
              <w:bottom w:w="0" w:type="dxa"/>
              <w:right w:w="105" w:type="dxa"/>
            </w:tcMar>
            <w:vAlign w:val="top"/>
          </w:tcPr>
          <w:p w14:paraId="00C33A28">
            <w:pPr>
              <w:keepNext w:val="0"/>
              <w:keepLines w:val="0"/>
              <w:widowControl/>
              <w:suppressLineNumbers w:val="0"/>
              <w:jc w:val="left"/>
            </w:pPr>
          </w:p>
        </w:tc>
        <w:tc>
          <w:tcPr>
            <w:tcW w:w="1845" w:type="dxa"/>
            <w:tcBorders>
              <w:tl2br w:val="nil"/>
              <w:tr2bl w:val="nil"/>
            </w:tcBorders>
            <w:shd w:val="clear" w:color="auto" w:fill="auto"/>
            <w:tcMar>
              <w:top w:w="0" w:type="dxa"/>
              <w:left w:w="105" w:type="dxa"/>
              <w:bottom w:w="0" w:type="dxa"/>
              <w:right w:w="105" w:type="dxa"/>
            </w:tcMar>
            <w:vAlign w:val="top"/>
          </w:tcPr>
          <w:p w14:paraId="70E3D69A">
            <w:pPr>
              <w:keepNext w:val="0"/>
              <w:keepLines w:val="0"/>
              <w:widowControl/>
              <w:suppressLineNumbers w:val="0"/>
              <w:jc w:val="left"/>
            </w:pPr>
          </w:p>
        </w:tc>
        <w:tc>
          <w:tcPr>
            <w:tcW w:w="1890" w:type="dxa"/>
            <w:tcBorders>
              <w:tl2br w:val="nil"/>
              <w:tr2bl w:val="nil"/>
            </w:tcBorders>
            <w:shd w:val="clear" w:color="auto" w:fill="auto"/>
            <w:tcMar>
              <w:top w:w="0" w:type="dxa"/>
              <w:left w:w="105" w:type="dxa"/>
              <w:bottom w:w="0" w:type="dxa"/>
              <w:right w:w="105" w:type="dxa"/>
            </w:tcMar>
            <w:vAlign w:val="top"/>
          </w:tcPr>
          <w:p w14:paraId="56DD74EB">
            <w:pPr>
              <w:keepNext w:val="0"/>
              <w:keepLines w:val="0"/>
              <w:widowControl/>
              <w:suppressLineNumbers w:val="0"/>
              <w:jc w:val="left"/>
            </w:pPr>
          </w:p>
        </w:tc>
      </w:tr>
      <w:tr w14:paraId="03943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960" w:type="dxa"/>
            <w:tcBorders>
              <w:tl2br w:val="nil"/>
              <w:tr2bl w:val="nil"/>
            </w:tcBorders>
            <w:shd w:val="clear" w:color="auto" w:fill="auto"/>
            <w:tcMar>
              <w:top w:w="0" w:type="dxa"/>
              <w:left w:w="105" w:type="dxa"/>
              <w:bottom w:w="0" w:type="dxa"/>
              <w:right w:w="105" w:type="dxa"/>
            </w:tcMar>
            <w:vAlign w:val="center"/>
          </w:tcPr>
          <w:p w14:paraId="3BCFD51C">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855" w:type="dxa"/>
            <w:tcBorders>
              <w:tl2br w:val="nil"/>
              <w:tr2bl w:val="nil"/>
            </w:tcBorders>
            <w:shd w:val="clear" w:color="auto" w:fill="auto"/>
            <w:tcMar>
              <w:top w:w="0" w:type="dxa"/>
              <w:left w:w="105" w:type="dxa"/>
              <w:bottom w:w="0" w:type="dxa"/>
              <w:right w:w="105" w:type="dxa"/>
            </w:tcMar>
            <w:vAlign w:val="center"/>
          </w:tcPr>
          <w:p w14:paraId="1684DAA4">
            <w:pPr>
              <w:keepNext w:val="0"/>
              <w:keepLines w:val="0"/>
              <w:widowControl/>
              <w:suppressLineNumbers w:val="0"/>
              <w:jc w:val="left"/>
            </w:pPr>
          </w:p>
        </w:tc>
        <w:tc>
          <w:tcPr>
            <w:tcW w:w="2970" w:type="dxa"/>
            <w:tcBorders>
              <w:tl2br w:val="nil"/>
              <w:tr2bl w:val="nil"/>
            </w:tcBorders>
            <w:shd w:val="clear" w:color="auto" w:fill="auto"/>
            <w:tcMar>
              <w:top w:w="0" w:type="dxa"/>
              <w:left w:w="105" w:type="dxa"/>
              <w:bottom w:w="0" w:type="dxa"/>
              <w:right w:w="105" w:type="dxa"/>
            </w:tcMar>
            <w:vAlign w:val="center"/>
          </w:tcPr>
          <w:p w14:paraId="63D7B06F">
            <w:pPr>
              <w:keepNext w:val="0"/>
              <w:keepLines w:val="0"/>
              <w:widowControl/>
              <w:suppressLineNumbers w:val="0"/>
              <w:jc w:val="left"/>
            </w:pPr>
          </w:p>
        </w:tc>
        <w:tc>
          <w:tcPr>
            <w:tcW w:w="1845" w:type="dxa"/>
            <w:tcBorders>
              <w:tl2br w:val="nil"/>
              <w:tr2bl w:val="nil"/>
            </w:tcBorders>
            <w:shd w:val="clear" w:color="auto" w:fill="auto"/>
            <w:tcMar>
              <w:top w:w="0" w:type="dxa"/>
              <w:left w:w="105" w:type="dxa"/>
              <w:bottom w:w="0" w:type="dxa"/>
              <w:right w:w="105" w:type="dxa"/>
            </w:tcMar>
            <w:vAlign w:val="center"/>
          </w:tcPr>
          <w:p w14:paraId="402766EA">
            <w:pPr>
              <w:keepNext w:val="0"/>
              <w:keepLines w:val="0"/>
              <w:widowControl/>
              <w:suppressLineNumbers w:val="0"/>
              <w:jc w:val="left"/>
            </w:pPr>
          </w:p>
        </w:tc>
        <w:tc>
          <w:tcPr>
            <w:tcW w:w="1890" w:type="dxa"/>
            <w:tcBorders>
              <w:tl2br w:val="nil"/>
              <w:tr2bl w:val="nil"/>
            </w:tcBorders>
            <w:shd w:val="clear" w:color="auto" w:fill="auto"/>
            <w:tcMar>
              <w:top w:w="0" w:type="dxa"/>
              <w:left w:w="105" w:type="dxa"/>
              <w:bottom w:w="0" w:type="dxa"/>
              <w:right w:w="105" w:type="dxa"/>
            </w:tcMar>
            <w:vAlign w:val="center"/>
          </w:tcPr>
          <w:p w14:paraId="34E6F560">
            <w:pPr>
              <w:keepNext w:val="0"/>
              <w:keepLines w:val="0"/>
              <w:widowControl/>
              <w:suppressLineNumbers w:val="0"/>
              <w:jc w:val="left"/>
            </w:pPr>
          </w:p>
        </w:tc>
      </w:tr>
    </w:tbl>
    <w:p w14:paraId="200303F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03032C7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1、本表应按照下列规定填写：</w:t>
      </w:r>
    </w:p>
    <w:p w14:paraId="7E9D61D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1.1“技术和服务要求”项下填写的内容应与招标文件第五章“技术和服务要求”的内容保持一致。</w:t>
      </w:r>
    </w:p>
    <w:p w14:paraId="5467188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1.2“投标响应”项下应填写具体的响应内容并与“技术和服务要求”项下填写的内容逐项对应；对“技术和服务要求”项下涉及“≥或＞”、“≤或＜”及某个区间值范围内的内容，应填写具体的数值。</w:t>
      </w:r>
    </w:p>
    <w:p w14:paraId="6B024D3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1.3“是否偏离及说明”项下应按下列规定填写：优于的，填写“正偏离”；符合的，填写“无偏离”；低于的，填写“负偏离”。</w:t>
      </w:r>
    </w:p>
    <w:p w14:paraId="1FAACAD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2、投标人需要说明的内容若需特殊表达，应先在本表中进行相应说明，再    另页应答，否则</w:t>
      </w:r>
      <w:r>
        <w:rPr>
          <w:rStyle w:val="8"/>
          <w:rFonts w:hint="eastAsia" w:ascii="宋体" w:hAnsi="宋体" w:eastAsia="宋体" w:cs="宋体"/>
          <w:b/>
          <w:sz w:val="21"/>
          <w:szCs w:val="21"/>
        </w:rPr>
        <w:t>投标无效</w:t>
      </w:r>
      <w:r>
        <w:rPr>
          <w:rFonts w:hint="eastAsia" w:ascii="宋体" w:hAnsi="宋体" w:eastAsia="宋体" w:cs="宋体"/>
          <w:sz w:val="21"/>
          <w:szCs w:val="21"/>
        </w:rPr>
        <w:t>。</w:t>
      </w:r>
    </w:p>
    <w:p w14:paraId="79A7C65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3、纸质投标文件正本中的本表应为原件。</w:t>
      </w:r>
    </w:p>
    <w:p w14:paraId="769FE16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193FC1F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658272E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7733DB5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11CFE88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0D17026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069EB0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B2F5686">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14:paraId="3F6CD0E8">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DF03ABF">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45EF986">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851E563">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1A06898">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三、商务条件响应表</w:t>
      </w:r>
    </w:p>
    <w:p w14:paraId="6C6B48E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20051C9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960"/>
        <w:gridCol w:w="855"/>
        <w:gridCol w:w="2970"/>
        <w:gridCol w:w="1845"/>
        <w:gridCol w:w="1890"/>
      </w:tblGrid>
      <w:tr w14:paraId="75CB7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960" w:type="dxa"/>
            <w:tcBorders>
              <w:tl2br w:val="nil"/>
              <w:tr2bl w:val="nil"/>
            </w:tcBorders>
            <w:shd w:val="clear" w:color="auto" w:fill="auto"/>
            <w:tcMar>
              <w:top w:w="0" w:type="dxa"/>
              <w:left w:w="105" w:type="dxa"/>
              <w:bottom w:w="0" w:type="dxa"/>
              <w:right w:w="105" w:type="dxa"/>
            </w:tcMar>
            <w:vAlign w:val="center"/>
          </w:tcPr>
          <w:p w14:paraId="4E5D64BF">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855" w:type="dxa"/>
            <w:tcBorders>
              <w:tl2br w:val="nil"/>
              <w:tr2bl w:val="nil"/>
            </w:tcBorders>
            <w:shd w:val="clear" w:color="auto" w:fill="auto"/>
            <w:tcMar>
              <w:top w:w="0" w:type="dxa"/>
              <w:left w:w="105" w:type="dxa"/>
              <w:bottom w:w="0" w:type="dxa"/>
              <w:right w:w="105" w:type="dxa"/>
            </w:tcMar>
            <w:vAlign w:val="center"/>
          </w:tcPr>
          <w:p w14:paraId="457FC83A">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2970" w:type="dxa"/>
            <w:tcBorders>
              <w:tl2br w:val="nil"/>
              <w:tr2bl w:val="nil"/>
            </w:tcBorders>
            <w:shd w:val="clear" w:color="auto" w:fill="auto"/>
            <w:tcMar>
              <w:top w:w="0" w:type="dxa"/>
              <w:left w:w="105" w:type="dxa"/>
              <w:bottom w:w="0" w:type="dxa"/>
              <w:right w:w="105" w:type="dxa"/>
            </w:tcMar>
            <w:vAlign w:val="center"/>
          </w:tcPr>
          <w:p w14:paraId="2D3148C1">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商务条件</w:t>
            </w:r>
          </w:p>
        </w:tc>
        <w:tc>
          <w:tcPr>
            <w:tcW w:w="1845" w:type="dxa"/>
            <w:tcBorders>
              <w:tl2br w:val="nil"/>
              <w:tr2bl w:val="nil"/>
            </w:tcBorders>
            <w:shd w:val="clear" w:color="auto" w:fill="auto"/>
            <w:tcMar>
              <w:top w:w="0" w:type="dxa"/>
              <w:left w:w="105" w:type="dxa"/>
              <w:bottom w:w="0" w:type="dxa"/>
              <w:right w:w="105" w:type="dxa"/>
            </w:tcMar>
            <w:vAlign w:val="center"/>
          </w:tcPr>
          <w:p w14:paraId="3080F5DE">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投标响应</w:t>
            </w:r>
          </w:p>
        </w:tc>
        <w:tc>
          <w:tcPr>
            <w:tcW w:w="1890" w:type="dxa"/>
            <w:tcBorders>
              <w:tl2br w:val="nil"/>
              <w:tr2bl w:val="nil"/>
            </w:tcBorders>
            <w:shd w:val="clear" w:color="auto" w:fill="auto"/>
            <w:tcMar>
              <w:top w:w="0" w:type="dxa"/>
              <w:left w:w="105" w:type="dxa"/>
              <w:bottom w:w="0" w:type="dxa"/>
              <w:right w:w="105" w:type="dxa"/>
            </w:tcMar>
            <w:vAlign w:val="center"/>
          </w:tcPr>
          <w:p w14:paraId="5C2069EB">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是否偏离及说明</w:t>
            </w:r>
          </w:p>
        </w:tc>
      </w:tr>
      <w:tr w14:paraId="61FC7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960" w:type="dxa"/>
            <w:vMerge w:val="restart"/>
            <w:tcBorders>
              <w:tl2br w:val="nil"/>
              <w:tr2bl w:val="nil"/>
            </w:tcBorders>
            <w:shd w:val="clear" w:color="auto" w:fill="auto"/>
            <w:tcMar>
              <w:top w:w="0" w:type="dxa"/>
              <w:left w:w="105" w:type="dxa"/>
              <w:bottom w:w="0" w:type="dxa"/>
              <w:right w:w="105" w:type="dxa"/>
            </w:tcMar>
            <w:vAlign w:val="center"/>
          </w:tcPr>
          <w:p w14:paraId="47E39BA8">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855" w:type="dxa"/>
            <w:tcBorders>
              <w:tl2br w:val="nil"/>
              <w:tr2bl w:val="nil"/>
            </w:tcBorders>
            <w:shd w:val="clear" w:color="auto" w:fill="auto"/>
            <w:tcMar>
              <w:top w:w="0" w:type="dxa"/>
              <w:left w:w="105" w:type="dxa"/>
              <w:bottom w:w="0" w:type="dxa"/>
              <w:right w:w="105" w:type="dxa"/>
            </w:tcMar>
            <w:vAlign w:val="center"/>
          </w:tcPr>
          <w:p w14:paraId="598F094F">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2970" w:type="dxa"/>
            <w:tcBorders>
              <w:tl2br w:val="nil"/>
              <w:tr2bl w:val="nil"/>
            </w:tcBorders>
            <w:shd w:val="clear" w:color="auto" w:fill="auto"/>
            <w:tcMar>
              <w:top w:w="0" w:type="dxa"/>
              <w:left w:w="105" w:type="dxa"/>
              <w:bottom w:w="0" w:type="dxa"/>
              <w:right w:w="105" w:type="dxa"/>
            </w:tcMar>
            <w:vAlign w:val="top"/>
          </w:tcPr>
          <w:p w14:paraId="76FF7B67">
            <w:pPr>
              <w:keepNext w:val="0"/>
              <w:keepLines w:val="0"/>
              <w:widowControl/>
              <w:suppressLineNumbers w:val="0"/>
              <w:jc w:val="left"/>
            </w:pPr>
          </w:p>
        </w:tc>
        <w:tc>
          <w:tcPr>
            <w:tcW w:w="1845" w:type="dxa"/>
            <w:tcBorders>
              <w:tl2br w:val="nil"/>
              <w:tr2bl w:val="nil"/>
            </w:tcBorders>
            <w:shd w:val="clear" w:color="auto" w:fill="auto"/>
            <w:tcMar>
              <w:top w:w="0" w:type="dxa"/>
              <w:left w:w="105" w:type="dxa"/>
              <w:bottom w:w="0" w:type="dxa"/>
              <w:right w:w="105" w:type="dxa"/>
            </w:tcMar>
            <w:vAlign w:val="top"/>
          </w:tcPr>
          <w:p w14:paraId="15F7795E">
            <w:pPr>
              <w:keepNext w:val="0"/>
              <w:keepLines w:val="0"/>
              <w:widowControl/>
              <w:suppressLineNumbers w:val="0"/>
              <w:jc w:val="left"/>
            </w:pPr>
          </w:p>
        </w:tc>
        <w:tc>
          <w:tcPr>
            <w:tcW w:w="1890" w:type="dxa"/>
            <w:tcBorders>
              <w:tl2br w:val="nil"/>
              <w:tr2bl w:val="nil"/>
            </w:tcBorders>
            <w:shd w:val="clear" w:color="auto" w:fill="auto"/>
            <w:tcMar>
              <w:top w:w="0" w:type="dxa"/>
              <w:left w:w="105" w:type="dxa"/>
              <w:bottom w:w="0" w:type="dxa"/>
              <w:right w:w="105" w:type="dxa"/>
            </w:tcMar>
            <w:vAlign w:val="top"/>
          </w:tcPr>
          <w:p w14:paraId="7FFF9EA4">
            <w:pPr>
              <w:keepNext w:val="0"/>
              <w:keepLines w:val="0"/>
              <w:widowControl/>
              <w:suppressLineNumbers w:val="0"/>
              <w:jc w:val="left"/>
            </w:pPr>
          </w:p>
        </w:tc>
      </w:tr>
      <w:tr w14:paraId="736A7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960" w:type="dxa"/>
            <w:vMerge w:val="continue"/>
            <w:tcBorders>
              <w:tl2br w:val="nil"/>
              <w:tr2bl w:val="nil"/>
            </w:tcBorders>
            <w:shd w:val="clear" w:color="auto" w:fill="auto"/>
            <w:tcMar>
              <w:top w:w="0" w:type="dxa"/>
              <w:left w:w="105" w:type="dxa"/>
              <w:bottom w:w="0" w:type="dxa"/>
              <w:right w:w="105" w:type="dxa"/>
            </w:tcMar>
            <w:vAlign w:val="center"/>
          </w:tcPr>
          <w:p w14:paraId="2F45E7BF">
            <w:pPr>
              <w:rPr>
                <w:rFonts w:hint="eastAsia" w:ascii="宋体"/>
                <w:sz w:val="24"/>
                <w:szCs w:val="24"/>
              </w:rPr>
            </w:pPr>
          </w:p>
        </w:tc>
        <w:tc>
          <w:tcPr>
            <w:tcW w:w="855" w:type="dxa"/>
            <w:tcBorders>
              <w:tl2br w:val="nil"/>
              <w:tr2bl w:val="nil"/>
            </w:tcBorders>
            <w:shd w:val="clear" w:color="auto" w:fill="auto"/>
            <w:tcMar>
              <w:top w:w="0" w:type="dxa"/>
              <w:left w:w="105" w:type="dxa"/>
              <w:bottom w:w="0" w:type="dxa"/>
              <w:right w:w="105" w:type="dxa"/>
            </w:tcMar>
            <w:vAlign w:val="center"/>
          </w:tcPr>
          <w:p w14:paraId="2B6D49B9">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2970" w:type="dxa"/>
            <w:tcBorders>
              <w:tl2br w:val="nil"/>
              <w:tr2bl w:val="nil"/>
            </w:tcBorders>
            <w:shd w:val="clear" w:color="auto" w:fill="auto"/>
            <w:tcMar>
              <w:top w:w="0" w:type="dxa"/>
              <w:left w:w="105" w:type="dxa"/>
              <w:bottom w:w="0" w:type="dxa"/>
              <w:right w:w="105" w:type="dxa"/>
            </w:tcMar>
            <w:vAlign w:val="top"/>
          </w:tcPr>
          <w:p w14:paraId="179BDFFB">
            <w:pPr>
              <w:keepNext w:val="0"/>
              <w:keepLines w:val="0"/>
              <w:widowControl/>
              <w:suppressLineNumbers w:val="0"/>
              <w:jc w:val="left"/>
            </w:pPr>
          </w:p>
        </w:tc>
        <w:tc>
          <w:tcPr>
            <w:tcW w:w="1845" w:type="dxa"/>
            <w:tcBorders>
              <w:tl2br w:val="nil"/>
              <w:tr2bl w:val="nil"/>
            </w:tcBorders>
            <w:shd w:val="clear" w:color="auto" w:fill="auto"/>
            <w:tcMar>
              <w:top w:w="0" w:type="dxa"/>
              <w:left w:w="105" w:type="dxa"/>
              <w:bottom w:w="0" w:type="dxa"/>
              <w:right w:w="105" w:type="dxa"/>
            </w:tcMar>
            <w:vAlign w:val="top"/>
          </w:tcPr>
          <w:p w14:paraId="379D5343">
            <w:pPr>
              <w:keepNext w:val="0"/>
              <w:keepLines w:val="0"/>
              <w:widowControl/>
              <w:suppressLineNumbers w:val="0"/>
              <w:jc w:val="left"/>
            </w:pPr>
          </w:p>
        </w:tc>
        <w:tc>
          <w:tcPr>
            <w:tcW w:w="1890" w:type="dxa"/>
            <w:tcBorders>
              <w:tl2br w:val="nil"/>
              <w:tr2bl w:val="nil"/>
            </w:tcBorders>
            <w:shd w:val="clear" w:color="auto" w:fill="auto"/>
            <w:tcMar>
              <w:top w:w="0" w:type="dxa"/>
              <w:left w:w="105" w:type="dxa"/>
              <w:bottom w:w="0" w:type="dxa"/>
              <w:right w:w="105" w:type="dxa"/>
            </w:tcMar>
            <w:vAlign w:val="top"/>
          </w:tcPr>
          <w:p w14:paraId="606991F4">
            <w:pPr>
              <w:keepNext w:val="0"/>
              <w:keepLines w:val="0"/>
              <w:widowControl/>
              <w:suppressLineNumbers w:val="0"/>
              <w:jc w:val="left"/>
            </w:pPr>
          </w:p>
        </w:tc>
      </w:tr>
      <w:tr w14:paraId="79130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960" w:type="dxa"/>
            <w:tcBorders>
              <w:tl2br w:val="nil"/>
              <w:tr2bl w:val="nil"/>
            </w:tcBorders>
            <w:shd w:val="clear" w:color="auto" w:fill="auto"/>
            <w:tcMar>
              <w:top w:w="0" w:type="dxa"/>
              <w:left w:w="105" w:type="dxa"/>
              <w:bottom w:w="0" w:type="dxa"/>
              <w:right w:w="105" w:type="dxa"/>
            </w:tcMar>
            <w:vAlign w:val="center"/>
          </w:tcPr>
          <w:p w14:paraId="719E4641">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855" w:type="dxa"/>
            <w:tcBorders>
              <w:tl2br w:val="nil"/>
              <w:tr2bl w:val="nil"/>
            </w:tcBorders>
            <w:shd w:val="clear" w:color="auto" w:fill="auto"/>
            <w:tcMar>
              <w:top w:w="0" w:type="dxa"/>
              <w:left w:w="105" w:type="dxa"/>
              <w:bottom w:w="0" w:type="dxa"/>
              <w:right w:w="105" w:type="dxa"/>
            </w:tcMar>
            <w:vAlign w:val="center"/>
          </w:tcPr>
          <w:p w14:paraId="15C5045A">
            <w:pPr>
              <w:keepNext w:val="0"/>
              <w:keepLines w:val="0"/>
              <w:widowControl/>
              <w:suppressLineNumbers w:val="0"/>
              <w:jc w:val="left"/>
            </w:pPr>
          </w:p>
        </w:tc>
        <w:tc>
          <w:tcPr>
            <w:tcW w:w="2970" w:type="dxa"/>
            <w:tcBorders>
              <w:tl2br w:val="nil"/>
              <w:tr2bl w:val="nil"/>
            </w:tcBorders>
            <w:shd w:val="clear" w:color="auto" w:fill="auto"/>
            <w:tcMar>
              <w:top w:w="0" w:type="dxa"/>
              <w:left w:w="105" w:type="dxa"/>
              <w:bottom w:w="0" w:type="dxa"/>
              <w:right w:w="105" w:type="dxa"/>
            </w:tcMar>
            <w:vAlign w:val="center"/>
          </w:tcPr>
          <w:p w14:paraId="2B4E9740">
            <w:pPr>
              <w:keepNext w:val="0"/>
              <w:keepLines w:val="0"/>
              <w:widowControl/>
              <w:suppressLineNumbers w:val="0"/>
              <w:jc w:val="left"/>
            </w:pPr>
          </w:p>
        </w:tc>
        <w:tc>
          <w:tcPr>
            <w:tcW w:w="1845" w:type="dxa"/>
            <w:tcBorders>
              <w:tl2br w:val="nil"/>
              <w:tr2bl w:val="nil"/>
            </w:tcBorders>
            <w:shd w:val="clear" w:color="auto" w:fill="auto"/>
            <w:tcMar>
              <w:top w:w="0" w:type="dxa"/>
              <w:left w:w="105" w:type="dxa"/>
              <w:bottom w:w="0" w:type="dxa"/>
              <w:right w:w="105" w:type="dxa"/>
            </w:tcMar>
            <w:vAlign w:val="center"/>
          </w:tcPr>
          <w:p w14:paraId="66BCF10D">
            <w:pPr>
              <w:keepNext w:val="0"/>
              <w:keepLines w:val="0"/>
              <w:widowControl/>
              <w:suppressLineNumbers w:val="0"/>
              <w:jc w:val="left"/>
            </w:pPr>
          </w:p>
        </w:tc>
        <w:tc>
          <w:tcPr>
            <w:tcW w:w="1890" w:type="dxa"/>
            <w:tcBorders>
              <w:tl2br w:val="nil"/>
              <w:tr2bl w:val="nil"/>
            </w:tcBorders>
            <w:shd w:val="clear" w:color="auto" w:fill="auto"/>
            <w:tcMar>
              <w:top w:w="0" w:type="dxa"/>
              <w:left w:w="105" w:type="dxa"/>
              <w:bottom w:w="0" w:type="dxa"/>
              <w:right w:w="105" w:type="dxa"/>
            </w:tcMar>
            <w:vAlign w:val="center"/>
          </w:tcPr>
          <w:p w14:paraId="7F3C2518">
            <w:pPr>
              <w:keepNext w:val="0"/>
              <w:keepLines w:val="0"/>
              <w:widowControl/>
              <w:suppressLineNumbers w:val="0"/>
              <w:jc w:val="left"/>
            </w:pPr>
          </w:p>
        </w:tc>
      </w:tr>
    </w:tbl>
    <w:p w14:paraId="01D26A4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5784FCC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1、本表应按照下列规定填写：</w:t>
      </w:r>
    </w:p>
    <w:p w14:paraId="7657A8A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1.1“商务条件”项下填写的内容应与招标文件第五章“商务条件”的内容保持一致。</w:t>
      </w:r>
    </w:p>
    <w:p w14:paraId="035B166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1.2“投标响应”项下应填写具体的响应内容并与“商务条件”项下填写的内容逐项对应；对“商务条件”项下涉及“≥或＞”、“≤或＜”及某个区间值范围内的内容，应填写具体的数值。</w:t>
      </w:r>
    </w:p>
    <w:p w14:paraId="1F6CA85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1.3“是否偏离及说明”项下应按下列规定填写：优于的，填写“正偏离”；符合的，填写“无偏离”；低于的，填写“负偏离”。</w:t>
      </w:r>
    </w:p>
    <w:p w14:paraId="59180EC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2、投标人需要说明的内容若需特殊表达，应先在本表中进行相应说明，再另页应答，否则</w:t>
      </w:r>
      <w:r>
        <w:rPr>
          <w:rStyle w:val="8"/>
          <w:rFonts w:hint="eastAsia" w:ascii="宋体" w:hAnsi="宋体" w:eastAsia="宋体" w:cs="宋体"/>
          <w:b/>
          <w:sz w:val="21"/>
          <w:szCs w:val="21"/>
        </w:rPr>
        <w:t>投标无效</w:t>
      </w:r>
      <w:r>
        <w:rPr>
          <w:rFonts w:hint="eastAsia" w:ascii="宋体" w:hAnsi="宋体" w:eastAsia="宋体" w:cs="宋体"/>
          <w:sz w:val="21"/>
          <w:szCs w:val="21"/>
        </w:rPr>
        <w:t>。</w:t>
      </w:r>
    </w:p>
    <w:p w14:paraId="2F4E832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3、纸质投标文件正本中的本表应为原件。</w:t>
      </w:r>
    </w:p>
    <w:p w14:paraId="2239BA0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6EEED45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4910166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6CB1490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6CC7C6E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20DA10D0">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4416CD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D263FA7">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br w:type="textWrapping"/>
      </w:r>
    </w:p>
    <w:p w14:paraId="0D220E40">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46265824">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5A64C24C">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0B9500A9">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34262CBF">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7AD72954">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四、投标人提交的其他资料（若有）</w:t>
      </w:r>
    </w:p>
    <w:p w14:paraId="530B61F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183C6E3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169B38F7">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14:paraId="15F2CA7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26D77C6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1、招标文件要求提交的除</w:t>
      </w:r>
      <w:r>
        <w:rPr>
          <w:rStyle w:val="8"/>
          <w:rFonts w:hint="eastAsia" w:ascii="宋体" w:hAnsi="宋体" w:eastAsia="宋体" w:cs="宋体"/>
          <w:b/>
          <w:sz w:val="21"/>
          <w:szCs w:val="21"/>
        </w:rPr>
        <w:t>“资格及资信证明部分”、“报价部分”</w:t>
      </w:r>
      <w:r>
        <w:rPr>
          <w:rFonts w:hint="eastAsia" w:ascii="宋体" w:hAnsi="宋体" w:eastAsia="宋体" w:cs="宋体"/>
          <w:sz w:val="21"/>
          <w:szCs w:val="21"/>
        </w:rPr>
        <w:t>外的其他证明材料或资料加盖投标人的单位公章后应在此项下提交。</w:t>
      </w:r>
    </w:p>
    <w:p w14:paraId="72F2CC2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2、招标文件要求投标人提供方案（包括但不限于：组织、实施、技术、服务方案等）的，投标人应在此项下提交。</w:t>
      </w:r>
    </w:p>
    <w:p w14:paraId="57B2EF4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3、除招标文件另有规定外，投标人认为需要提交的其他证明材料或资料加盖投标人的单位公章后应在此项下提交。</w:t>
      </w:r>
    </w:p>
    <w:p w14:paraId="11740E2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88ADD2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20488F5D">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1"/>
          <w:szCs w:val="21"/>
        </w:rPr>
        <w:t> </w:t>
      </w:r>
    </w:p>
    <w:p w14:paraId="5EEB6A8E">
      <w:pPr>
        <w:pStyle w:val="2"/>
        <w:keepNext w:val="0"/>
        <w:keepLines w:val="0"/>
        <w:widowControl/>
        <w:suppressLineNumbers w:val="0"/>
        <w:shd w:val="clear" w:fill="FFFFFF"/>
        <w:spacing w:before="300" w:beforeAutospacing="0" w:after="150" w:afterAutospacing="0" w:line="17" w:lineRule="atLeast"/>
        <w:ind w:left="0" w:firstLine="0"/>
        <w:rPr>
          <w:rFonts w:ascii="Helvetica" w:hAnsi="Helvetica" w:eastAsia="Helvetica" w:cs="Helvetica"/>
          <w:b w:val="0"/>
          <w:i w:val="0"/>
          <w:caps w:val="0"/>
          <w:color w:val="393939"/>
          <w:spacing w:val="0"/>
          <w:sz w:val="33"/>
          <w:szCs w:val="33"/>
        </w:rPr>
      </w:pPr>
      <w:r>
        <w:rPr>
          <w:rFonts w:hint="default" w:ascii="Helvetica" w:hAnsi="Helvetica" w:eastAsia="Helvetica" w:cs="Helvetica"/>
          <w:b w:val="0"/>
          <w:i w:val="0"/>
          <w:caps w:val="0"/>
          <w:color w:val="393939"/>
          <w:spacing w:val="0"/>
          <w:sz w:val="33"/>
          <w:szCs w:val="33"/>
          <w:shd w:val="clear" w:fill="FFFFFF"/>
        </w:rPr>
        <w:t>采购文件相关附件</w:t>
      </w:r>
    </w:p>
    <w:p w14:paraId="0BB9924B"/>
    <w:sectPr>
      <w:footerReference r:id="rId3" w:type="default"/>
      <w:pgSz w:w="11906" w:h="16838"/>
      <w:pgMar w:top="1440" w:right="1800" w:bottom="1440" w:left="1800" w:header="851" w:footer="992" w:gutter="0"/>
      <w:pgBorders w:offsetFrom="page">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203" w:usb1="288F0000" w:usb2="00000006" w:usb3="00000000" w:csb0="00040001" w:csb1="0000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2383">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F355E2">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57F355E2">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C814D4"/>
    <w:rsid w:val="0B010640"/>
    <w:rsid w:val="11920D89"/>
    <w:rsid w:val="4A053EA9"/>
    <w:rsid w:val="5EBF7A9F"/>
    <w:rsid w:val="61967B9A"/>
    <w:rsid w:val="68BE0E65"/>
    <w:rsid w:val="6DC814D4"/>
    <w:rsid w:val="761700E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170</Pages>
  <Words>19122</Words>
  <Characters>20009</Characters>
  <Lines>0</Lines>
  <Paragraphs>0</Paragraphs>
  <TotalTime>0</TotalTime>
  <ScaleCrop>false</ScaleCrop>
  <LinksUpToDate>false</LinksUpToDate>
  <CharactersWithSpaces>20176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2019-07-05T08:31:00Z</dcterms:created>
  <dc:creator>Administrator</dc:creator>
  <cp:lastModifiedBy>admin001</cp:lastModifiedBy>
  <dcterms:modified xsi:type="dcterms:W3CDTF">2026-03-17T02:37:56Z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eyJoZGlkIjoiMDFiMTVhMWYwY2MzYzA2N2JkYWFjYjc3YzQ2ZmVkMTQiLCJ1c2VySWQiOiIxMjE3Nzg4ODk5In0=</vt:lpwstr>
  </property>
  <property fmtid="{D5CDD505-2E9C-101B-9397-08002B2CF9AE}" pid="4" name="ICV">
    <vt:lpwstr>4EBA1DDE753B49D18CB2B1DCC7CC788A_12</vt:lpwstr>
  </property>
</Properties>
</file>